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DD25" w14:textId="77777777" w:rsidR="002962A8" w:rsidRDefault="002962A8" w:rsidP="002962A8">
      <w:pPr>
        <w:rPr>
          <w:rFonts w:asciiTheme="majorHAnsi" w:eastAsiaTheme="majorEastAsia" w:hAnsiTheme="majorHAnsi" w:cstheme="majorBidi"/>
          <w:b/>
          <w:bCs/>
          <w:color w:val="5D8593"/>
          <w:sz w:val="54"/>
          <w:szCs w:val="54"/>
        </w:rPr>
      </w:pPr>
      <w:bookmarkStart w:id="0" w:name="_Hlk200712243"/>
      <w:bookmarkEnd w:id="0"/>
    </w:p>
    <w:p w14:paraId="754B1C5D" w14:textId="77777777" w:rsidR="00836AA2" w:rsidRDefault="00836AA2" w:rsidP="002962A8">
      <w:pPr>
        <w:rPr>
          <w:rFonts w:asciiTheme="majorHAnsi" w:eastAsiaTheme="majorEastAsia" w:hAnsiTheme="majorHAnsi" w:cstheme="majorBidi"/>
          <w:b/>
          <w:bCs/>
          <w:color w:val="5D8593"/>
          <w:sz w:val="54"/>
          <w:szCs w:val="54"/>
        </w:rPr>
      </w:pPr>
    </w:p>
    <w:p w14:paraId="62B02F84" w14:textId="77777777" w:rsidR="00836AA2" w:rsidRDefault="00836AA2" w:rsidP="002962A8">
      <w:pPr>
        <w:rPr>
          <w:rFonts w:asciiTheme="majorHAnsi" w:eastAsiaTheme="majorEastAsia" w:hAnsiTheme="majorHAnsi" w:cstheme="majorBidi"/>
          <w:b/>
          <w:bCs/>
          <w:color w:val="5D8593"/>
          <w:sz w:val="54"/>
          <w:szCs w:val="54"/>
        </w:rPr>
      </w:pPr>
    </w:p>
    <w:p w14:paraId="3D0EC56C" w14:textId="072F3821" w:rsidR="00836AA2" w:rsidRPr="00836AA2" w:rsidRDefault="00A44480" w:rsidP="00836AA2">
      <w:pPr>
        <w:rPr>
          <w:rFonts w:asciiTheme="majorHAnsi" w:eastAsiaTheme="majorEastAsia" w:hAnsiTheme="majorHAnsi" w:cstheme="majorBidi"/>
          <w:b/>
          <w:bCs/>
          <w:color w:val="5D8593"/>
          <w:sz w:val="54"/>
          <w:szCs w:val="54"/>
        </w:rPr>
      </w:pPr>
      <w:r>
        <w:rPr>
          <w:rFonts w:asciiTheme="majorHAnsi" w:eastAsiaTheme="majorEastAsia" w:hAnsiTheme="majorHAnsi" w:cstheme="majorBidi"/>
          <w:b/>
          <w:bCs/>
          <w:color w:val="5D8593"/>
          <w:sz w:val="54"/>
          <w:szCs w:val="54"/>
        </w:rPr>
        <w:t xml:space="preserve">Level </w:t>
      </w:r>
      <w:r w:rsidR="00E84334">
        <w:rPr>
          <w:rFonts w:asciiTheme="majorHAnsi" w:eastAsiaTheme="majorEastAsia" w:hAnsiTheme="majorHAnsi" w:cstheme="majorBidi"/>
          <w:b/>
          <w:bCs/>
          <w:color w:val="5D8593"/>
          <w:sz w:val="54"/>
          <w:szCs w:val="54"/>
        </w:rPr>
        <w:t>3</w:t>
      </w:r>
      <w:r>
        <w:rPr>
          <w:rFonts w:asciiTheme="majorHAnsi" w:eastAsiaTheme="majorEastAsia" w:hAnsiTheme="majorHAnsi" w:cstheme="majorBidi"/>
          <w:b/>
          <w:bCs/>
          <w:color w:val="5D8593"/>
          <w:sz w:val="54"/>
          <w:szCs w:val="54"/>
        </w:rPr>
        <w:t xml:space="preserve"> </w:t>
      </w:r>
      <w:r w:rsidR="0015746D">
        <w:rPr>
          <w:rFonts w:asciiTheme="majorHAnsi" w:eastAsiaTheme="majorEastAsia" w:hAnsiTheme="majorHAnsi" w:cstheme="majorBidi"/>
          <w:b/>
          <w:bCs/>
          <w:color w:val="5D8593"/>
          <w:sz w:val="54"/>
          <w:szCs w:val="54"/>
        </w:rPr>
        <w:t>Residential Services (</w:t>
      </w:r>
      <w:r>
        <w:rPr>
          <w:rFonts w:asciiTheme="majorHAnsi" w:eastAsiaTheme="majorEastAsia" w:hAnsiTheme="majorHAnsi" w:cstheme="majorBidi"/>
          <w:b/>
          <w:bCs/>
          <w:color w:val="5D8593"/>
          <w:sz w:val="54"/>
          <w:szCs w:val="54"/>
        </w:rPr>
        <w:t>Supported Accommodation</w:t>
      </w:r>
      <w:r w:rsidR="0015746D">
        <w:rPr>
          <w:rFonts w:asciiTheme="majorHAnsi" w:eastAsiaTheme="majorEastAsia" w:hAnsiTheme="majorHAnsi" w:cstheme="majorBidi"/>
          <w:b/>
          <w:bCs/>
          <w:color w:val="5D8593"/>
          <w:sz w:val="54"/>
          <w:szCs w:val="54"/>
        </w:rPr>
        <w:t>)</w:t>
      </w:r>
      <w:r w:rsidR="00836AA2" w:rsidRPr="00836AA2">
        <w:rPr>
          <w:rFonts w:asciiTheme="majorHAnsi" w:eastAsiaTheme="majorEastAsia" w:hAnsiTheme="majorHAnsi" w:cstheme="majorBidi"/>
          <w:b/>
          <w:bCs/>
          <w:color w:val="5D8593"/>
          <w:sz w:val="54"/>
          <w:szCs w:val="54"/>
        </w:rPr>
        <w:t>: Cost Benefit Analysis</w:t>
      </w:r>
    </w:p>
    <w:p w14:paraId="2512FDAA" w14:textId="187852C5" w:rsidR="00E84334" w:rsidRDefault="00836AA2" w:rsidP="00836AA2">
      <w:pPr>
        <w:pStyle w:val="Heading1"/>
        <w:spacing w:before="0"/>
        <w:rPr>
          <w:b/>
          <w:bCs/>
        </w:rPr>
      </w:pPr>
      <w:r w:rsidRPr="00836AA2">
        <w:rPr>
          <w:b/>
          <w:bCs/>
        </w:rPr>
        <w:t>A benefit</w:t>
      </w:r>
      <w:r w:rsidR="006D0C87">
        <w:rPr>
          <w:b/>
          <w:bCs/>
        </w:rPr>
        <w:t>s</w:t>
      </w:r>
      <w:r w:rsidRPr="00836AA2">
        <w:rPr>
          <w:b/>
          <w:bCs/>
        </w:rPr>
        <w:t xml:space="preserve"> analysis of </w:t>
      </w:r>
      <w:r w:rsidR="00B85DF2">
        <w:rPr>
          <w:b/>
          <w:bCs/>
        </w:rPr>
        <w:t xml:space="preserve">the current </w:t>
      </w:r>
      <w:r w:rsidR="00E84334">
        <w:rPr>
          <w:b/>
          <w:bCs/>
        </w:rPr>
        <w:t xml:space="preserve">Level 3 </w:t>
      </w:r>
      <w:r w:rsidR="0015746D">
        <w:rPr>
          <w:b/>
          <w:bCs/>
        </w:rPr>
        <w:t>Residential Services (</w:t>
      </w:r>
      <w:r w:rsidR="00E84334">
        <w:rPr>
          <w:b/>
          <w:bCs/>
        </w:rPr>
        <w:t>Supported Accommodation</w:t>
      </w:r>
      <w:r w:rsidR="0015746D">
        <w:rPr>
          <w:b/>
          <w:bCs/>
        </w:rPr>
        <w:t>)</w:t>
      </w:r>
      <w:r w:rsidR="007E6414">
        <w:rPr>
          <w:b/>
          <w:bCs/>
        </w:rPr>
        <w:t xml:space="preserve"> </w:t>
      </w:r>
      <w:r w:rsidR="00B85DF2">
        <w:rPr>
          <w:b/>
          <w:bCs/>
        </w:rPr>
        <w:t xml:space="preserve">sector </w:t>
      </w:r>
      <w:r w:rsidR="007E6414">
        <w:rPr>
          <w:b/>
          <w:bCs/>
        </w:rPr>
        <w:t xml:space="preserve">in Queensland, </w:t>
      </w:r>
      <w:r w:rsidR="00B85DF2">
        <w:rPr>
          <w:b/>
          <w:bCs/>
        </w:rPr>
        <w:t xml:space="preserve">and </w:t>
      </w:r>
      <w:r w:rsidR="00B93F9E">
        <w:rPr>
          <w:b/>
          <w:bCs/>
        </w:rPr>
        <w:t xml:space="preserve">cost benefit </w:t>
      </w:r>
      <w:r w:rsidR="00B85DF2">
        <w:rPr>
          <w:b/>
          <w:bCs/>
        </w:rPr>
        <w:t xml:space="preserve">analysis of </w:t>
      </w:r>
      <w:r w:rsidR="001D3EEA">
        <w:rPr>
          <w:b/>
          <w:bCs/>
        </w:rPr>
        <w:t xml:space="preserve">introducing </w:t>
      </w:r>
      <w:r w:rsidR="001B6F87">
        <w:rPr>
          <w:b/>
          <w:bCs/>
        </w:rPr>
        <w:t xml:space="preserve">models of </w:t>
      </w:r>
      <w:r w:rsidR="0015746D">
        <w:rPr>
          <w:b/>
          <w:bCs/>
        </w:rPr>
        <w:t>c</w:t>
      </w:r>
      <w:r w:rsidR="001D3EEA">
        <w:rPr>
          <w:b/>
          <w:bCs/>
        </w:rPr>
        <w:t xml:space="preserve">ase management </w:t>
      </w:r>
      <w:r w:rsidR="0015746D">
        <w:rPr>
          <w:b/>
          <w:bCs/>
        </w:rPr>
        <w:t>for residents</w:t>
      </w:r>
      <w:r w:rsidR="001D3EEA">
        <w:rPr>
          <w:b/>
          <w:bCs/>
        </w:rPr>
        <w:t>.</w:t>
      </w:r>
    </w:p>
    <w:p w14:paraId="173DB99A" w14:textId="77777777" w:rsidR="00836AA2" w:rsidRPr="00836AA2" w:rsidRDefault="00836AA2" w:rsidP="00836AA2">
      <w:pPr>
        <w:pStyle w:val="Heading1"/>
        <w:rPr>
          <w:b/>
          <w:bCs/>
          <w:sz w:val="24"/>
          <w:szCs w:val="24"/>
        </w:rPr>
      </w:pPr>
      <w:r w:rsidRPr="00836AA2">
        <w:rPr>
          <w:b/>
          <w:bCs/>
          <w:sz w:val="24"/>
          <w:szCs w:val="24"/>
        </w:rPr>
        <w:t>A report for the Department of Families</w:t>
      </w:r>
      <w:bookmarkStart w:id="1" w:name="_Hlk198213654"/>
      <w:r w:rsidRPr="00836AA2">
        <w:rPr>
          <w:b/>
          <w:bCs/>
          <w:sz w:val="24"/>
          <w:szCs w:val="24"/>
        </w:rPr>
        <w:t>, Seniors, Disability Services and Child Safety</w:t>
      </w:r>
      <w:bookmarkEnd w:id="1"/>
      <w:r w:rsidRPr="00836AA2">
        <w:rPr>
          <w:b/>
          <w:bCs/>
          <w:sz w:val="24"/>
          <w:szCs w:val="24"/>
        </w:rPr>
        <w:t>.</w:t>
      </w:r>
    </w:p>
    <w:p w14:paraId="3606105A" w14:textId="77777777" w:rsidR="00836AA2" w:rsidRDefault="00836AA2" w:rsidP="00836AA2"/>
    <w:p w14:paraId="21AE2A82" w14:textId="77777777" w:rsidR="00836AA2" w:rsidRDefault="00836AA2" w:rsidP="00836AA2"/>
    <w:p w14:paraId="31A18097" w14:textId="77777777" w:rsidR="00836AA2" w:rsidRDefault="00836AA2" w:rsidP="00836AA2"/>
    <w:p w14:paraId="1BCEDFA6" w14:textId="77777777" w:rsidR="00836AA2" w:rsidRDefault="00836AA2" w:rsidP="00836AA2"/>
    <w:p w14:paraId="6A669F05" w14:textId="77777777" w:rsidR="00836AA2" w:rsidRDefault="00836AA2" w:rsidP="00836AA2"/>
    <w:p w14:paraId="7DEF7A19" w14:textId="77777777" w:rsidR="00836AA2" w:rsidRDefault="00836AA2" w:rsidP="00836AA2"/>
    <w:p w14:paraId="672C17E0" w14:textId="77777777" w:rsidR="00836AA2" w:rsidRDefault="00836AA2" w:rsidP="00836AA2"/>
    <w:p w14:paraId="219CE3E3" w14:textId="77777777" w:rsidR="00836AA2" w:rsidRDefault="00836AA2" w:rsidP="00836AA2"/>
    <w:p w14:paraId="0FC59C67" w14:textId="77777777" w:rsidR="00B73B56" w:rsidRDefault="00B73B56" w:rsidP="00836AA2"/>
    <w:p w14:paraId="23203802" w14:textId="77777777" w:rsidR="00E951A4" w:rsidRDefault="00E951A4" w:rsidP="00836AA2"/>
    <w:p w14:paraId="2E3AF499" w14:textId="77777777" w:rsidR="00E057DC" w:rsidRDefault="00E057DC" w:rsidP="00836AA2"/>
    <w:p w14:paraId="1ADF4A71" w14:textId="54284EA7" w:rsidR="00836AA2" w:rsidRDefault="00836AA2" w:rsidP="00B73B56">
      <w:pPr>
        <w:jc w:val="center"/>
      </w:pPr>
    </w:p>
    <w:p w14:paraId="220FD139" w14:textId="77777777" w:rsidR="00FA16C0" w:rsidRDefault="00FA16C0" w:rsidP="00836AA2"/>
    <w:p w14:paraId="69612A4A" w14:textId="4FA03FC2" w:rsidR="00DA4D0E" w:rsidRDefault="00DA4D0E">
      <w:r>
        <w:br w:type="page"/>
      </w:r>
    </w:p>
    <w:p w14:paraId="6E199443" w14:textId="2FEB045F" w:rsidR="00D03095" w:rsidRPr="008A3F2E" w:rsidRDefault="00D03095" w:rsidP="00AC17B0">
      <w:pPr>
        <w:pStyle w:val="Heading1"/>
        <w:spacing w:before="120" w:after="120"/>
        <w:rPr>
          <w:b/>
          <w:bCs/>
        </w:rPr>
      </w:pPr>
      <w:r>
        <w:rPr>
          <w:b/>
          <w:bCs/>
        </w:rPr>
        <w:lastRenderedPageBreak/>
        <w:t>Executive Summary</w:t>
      </w:r>
    </w:p>
    <w:p w14:paraId="1C773516" w14:textId="77777777" w:rsidR="002C36B0" w:rsidRDefault="002C36B0" w:rsidP="002C36B0">
      <w:pPr>
        <w:spacing w:after="120"/>
      </w:pPr>
      <w:r>
        <w:t>Level 3 Residential Services, or supported accommodation is a type of residential service which provides accommodation (bedroom with shared communal facilities), food and personal care services. While regulated by the Queensland Government, no direct funding is provided to supported accommodation operators.</w:t>
      </w:r>
    </w:p>
    <w:p w14:paraId="243C4B56" w14:textId="5BB5D2B6" w:rsidR="002C36B0" w:rsidRDefault="002C36B0" w:rsidP="002C36B0">
      <w:pPr>
        <w:spacing w:after="120"/>
      </w:pPr>
      <w:r>
        <w:t>Residents of supported accommodation often have complex circumstances, a history of trauma and limited decision-making ability, resulting in them being highly vulnerable and disadvantaged. 92.7</w:t>
      </w:r>
      <w:r w:rsidR="00D11C52">
        <w:t xml:space="preserve"> per cent</w:t>
      </w:r>
      <w:r>
        <w:t xml:space="preserve"> of residents receive the Disability Support Pension and 73.2</w:t>
      </w:r>
      <w:r w:rsidR="004C4A34">
        <w:t xml:space="preserve"> per cent</w:t>
      </w:r>
      <w:r>
        <w:t xml:space="preserve"> have multiple diagnoses, with up to 10 different conditions such as </w:t>
      </w:r>
      <w:r w:rsidRPr="00CD4F2F">
        <w:rPr>
          <w:rFonts w:ascii="Calibri" w:hAnsi="Calibri" w:cs="Calibri"/>
        </w:rPr>
        <w:t>mental health/psychosocial issues</w:t>
      </w:r>
      <w:r>
        <w:rPr>
          <w:rFonts w:ascii="Calibri" w:hAnsi="Calibri" w:cs="Calibri"/>
        </w:rPr>
        <w:t>,</w:t>
      </w:r>
      <w:r w:rsidRPr="00B00997">
        <w:rPr>
          <w:rFonts w:ascii="Calibri" w:hAnsi="Calibri" w:cs="Calibri"/>
        </w:rPr>
        <w:t xml:space="preserve"> </w:t>
      </w:r>
      <w:r w:rsidRPr="00CD4F2F">
        <w:rPr>
          <w:rFonts w:ascii="Calibri" w:hAnsi="Calibri" w:cs="Calibri"/>
        </w:rPr>
        <w:t>chronic health issues</w:t>
      </w:r>
      <w:r>
        <w:rPr>
          <w:rFonts w:ascii="Calibri" w:hAnsi="Calibri" w:cs="Calibri"/>
        </w:rPr>
        <w:t xml:space="preserve"> and </w:t>
      </w:r>
      <w:r w:rsidRPr="00CD4F2F">
        <w:rPr>
          <w:rFonts w:ascii="Calibri" w:hAnsi="Calibri" w:cs="Calibri"/>
        </w:rPr>
        <w:t>intellectual impairments</w:t>
      </w:r>
      <w:r>
        <w:rPr>
          <w:rFonts w:ascii="Calibri" w:hAnsi="Calibri" w:cs="Calibri"/>
        </w:rPr>
        <w:t>.</w:t>
      </w:r>
    </w:p>
    <w:p w14:paraId="3822DA84" w14:textId="6D206391" w:rsidR="002C36B0" w:rsidRDefault="002C36B0" w:rsidP="002C36B0">
      <w:pPr>
        <w:spacing w:after="120"/>
      </w:pPr>
      <w:r>
        <w:t>The number of supported accommodation facilities, and registered beds, has been declining over the past few years primarily due to lack of financial sustainability. Over the 18 months to April 2025, seven facilities accommodating 162 people closed (11</w:t>
      </w:r>
      <w:r w:rsidR="004C4A34">
        <w:t xml:space="preserve"> per cent</w:t>
      </w:r>
      <w:r>
        <w:t xml:space="preserve"> decline). As at April 2025, there were 36 facilities providing 1,270 beds – </w:t>
      </w:r>
      <w:r w:rsidRPr="007F0075">
        <w:rPr>
          <w:b/>
          <w:bCs/>
        </w:rPr>
        <w:t>since that time, this has now reduced to 34 facilities providing 1,237 beds</w:t>
      </w:r>
      <w:r>
        <w:t>.</w:t>
      </w:r>
    </w:p>
    <w:p w14:paraId="2C25BD3E" w14:textId="0E4C8BC5" w:rsidR="002C36B0" w:rsidRDefault="002C36B0" w:rsidP="002C36B0">
      <w:pPr>
        <w:spacing w:after="120"/>
      </w:pPr>
      <w:r>
        <w:t xml:space="preserve">Supported accommodation is providing a critical service to people who would often not be able to secure accommodation in the private rental </w:t>
      </w:r>
      <w:r w:rsidR="004C4A34">
        <w:t>market and</w:t>
      </w:r>
      <w:r>
        <w:t xml:space="preserve"> is often the only accommodation option for people upon discharge from hospital, other health facility or correctional institution. If supported accommodation was not available, people would either not be able to be discharged (preventing the admission of new people into hospitals and health facilities) or would become homeless.</w:t>
      </w:r>
    </w:p>
    <w:p w14:paraId="3ED9AB58" w14:textId="7823EDAD" w:rsidR="002C36B0" w:rsidRDefault="002C36B0" w:rsidP="002C36B0">
      <w:pPr>
        <w:spacing w:after="120"/>
        <w:rPr>
          <w:noProof/>
        </w:rPr>
      </w:pPr>
      <w:r>
        <w:t xml:space="preserve">Reviews of supported accommodation have consistently called for the introduction of case management practices into facilities. </w:t>
      </w:r>
      <w:r>
        <w:rPr>
          <w:noProof/>
        </w:rPr>
        <w:t xml:space="preserve">Through better </w:t>
      </w:r>
      <w:r w:rsidR="00482B85">
        <w:rPr>
          <w:noProof/>
        </w:rPr>
        <w:t xml:space="preserve">identification </w:t>
      </w:r>
      <w:r>
        <w:rPr>
          <w:noProof/>
        </w:rPr>
        <w:t xml:space="preserve">and understanding of the </w:t>
      </w:r>
      <w:r w:rsidR="001A477A">
        <w:rPr>
          <w:noProof/>
        </w:rPr>
        <w:t xml:space="preserve">individual </w:t>
      </w:r>
      <w:r>
        <w:rPr>
          <w:noProof/>
        </w:rPr>
        <w:t xml:space="preserve">needs and goals of residents, case management can devise achievable plans to help meet </w:t>
      </w:r>
      <w:r w:rsidR="001A477A">
        <w:rPr>
          <w:noProof/>
        </w:rPr>
        <w:t xml:space="preserve">these </w:t>
      </w:r>
      <w:r>
        <w:rPr>
          <w:noProof/>
        </w:rPr>
        <w:t>needs and goals, and enable clients to access the support and services they need.</w:t>
      </w:r>
    </w:p>
    <w:p w14:paraId="3F8F352C" w14:textId="77777777" w:rsidR="002C36B0" w:rsidRDefault="002C36B0" w:rsidP="002C36B0">
      <w:pPr>
        <w:spacing w:after="120"/>
        <w:rPr>
          <w:noProof/>
        </w:rPr>
      </w:pPr>
      <w:r>
        <w:rPr>
          <w:noProof/>
        </w:rPr>
        <w:t>Case management benefits accrue not only to the resident, but more broadly to government and the system, as well as service providers tasked with caring for the client.</w:t>
      </w:r>
    </w:p>
    <w:p w14:paraId="73F7A988" w14:textId="2F924C1A" w:rsidR="002C36B0" w:rsidRDefault="002C36B0" w:rsidP="002C36B0">
      <w:pPr>
        <w:spacing w:after="0"/>
      </w:pPr>
      <w:r>
        <w:t>Two models of case management have been analysed in this report</w:t>
      </w:r>
      <w:r w:rsidR="001A477A">
        <w:t>:</w:t>
      </w:r>
      <w:r>
        <w:t xml:space="preserve"> </w:t>
      </w:r>
    </w:p>
    <w:p w14:paraId="7F2FAA5B" w14:textId="288A6A08" w:rsidR="002C36B0" w:rsidRPr="009B0FB5" w:rsidRDefault="002C36B0" w:rsidP="009B0FB5">
      <w:pPr>
        <w:pStyle w:val="ListParagraph"/>
        <w:numPr>
          <w:ilvl w:val="0"/>
          <w:numId w:val="16"/>
        </w:numPr>
        <w:spacing w:after="120"/>
        <w:ind w:left="714" w:hanging="357"/>
        <w:rPr>
          <w:rFonts w:ascii="Calibri" w:hAnsi="Calibri" w:cs="Calibri"/>
        </w:rPr>
      </w:pPr>
      <w:r w:rsidRPr="009B0FB5">
        <w:rPr>
          <w:rFonts w:ascii="Calibri" w:hAnsi="Calibri" w:cs="Calibri"/>
        </w:rPr>
        <w:t>The first model, proposed by the supported accommodation peak, the Supported Accommodation Providers Association</w:t>
      </w:r>
      <w:r w:rsidR="00154036">
        <w:rPr>
          <w:rFonts w:ascii="Calibri" w:hAnsi="Calibri" w:cs="Calibri"/>
        </w:rPr>
        <w:t xml:space="preserve"> (SAPA)</w:t>
      </w:r>
      <w:r w:rsidRPr="009B0FB5">
        <w:rPr>
          <w:rFonts w:ascii="Calibri" w:hAnsi="Calibri" w:cs="Calibri"/>
        </w:rPr>
        <w:t>, proposes 35 case managers and a $10,000 per resident subsidy to providers. At a cost of $15.9 million per year, it is estimated that benefits of $1.30 to $1.50 per dollar would accrue to government, residents and providers. There are challenges in this model for safety and sustainability which are explored further in the report.</w:t>
      </w:r>
    </w:p>
    <w:p w14:paraId="62A7713F" w14:textId="77777777" w:rsidR="002C36B0" w:rsidRPr="009B0FB5" w:rsidRDefault="002C36B0" w:rsidP="002C36B0">
      <w:pPr>
        <w:pStyle w:val="ListParagraph"/>
        <w:numPr>
          <w:ilvl w:val="0"/>
          <w:numId w:val="16"/>
        </w:numPr>
        <w:spacing w:after="120"/>
        <w:ind w:left="714" w:hanging="357"/>
        <w:rPr>
          <w:rFonts w:ascii="Calibri" w:hAnsi="Calibri" w:cs="Calibri"/>
        </w:rPr>
      </w:pPr>
      <w:r w:rsidRPr="009B0FB5">
        <w:rPr>
          <w:rFonts w:ascii="Calibri" w:hAnsi="Calibri" w:cs="Calibri"/>
        </w:rPr>
        <w:t>The second model, developed for this report, proposes a case manager and a number of support workers in each facility. At a higher cost of $28.3 million to $31.3 million per year, it is estimated that benefits of $1.31 to $1.44 per dollar would accrue to government, residents and providers. This model is considered to give residents better quality of life outcomes beyond those able to be quantified, and other benefits to workers such as improved safety.</w:t>
      </w:r>
    </w:p>
    <w:p w14:paraId="4CB07865" w14:textId="77777777" w:rsidR="002C36B0" w:rsidRDefault="002C36B0" w:rsidP="002C36B0">
      <w:r>
        <w:t xml:space="preserve">Implementing both models would require changes to investment specifications, and investment in a new model of care for the supported accommodation sector including workforce capability building. </w:t>
      </w:r>
    </w:p>
    <w:p w14:paraId="290793DC" w14:textId="77777777" w:rsidR="002C36B0" w:rsidRDefault="002C36B0" w:rsidP="002C36B0">
      <w:r>
        <w:t>The report includes a summary of implementation actions and suggestions for investment specification changes and benefits measures.</w:t>
      </w:r>
    </w:p>
    <w:p w14:paraId="7644C7B3" w14:textId="0952D267" w:rsidR="002C7EA4" w:rsidRDefault="009B0FB5" w:rsidP="002C36B0">
      <w:r>
        <w:br w:type="page"/>
      </w:r>
    </w:p>
    <w:p w14:paraId="22C0183E" w14:textId="5DD99797" w:rsidR="002C36B0" w:rsidRDefault="002C36B0" w:rsidP="002C36B0">
      <w:r>
        <w:lastRenderedPageBreak/>
        <w:t xml:space="preserve">Regardless of which model is pursued, it is clear that the whole supported accommodation sector, and most importantly its vulnerable residents, </w:t>
      </w:r>
      <w:r w:rsidR="004B2B83">
        <w:t>are</w:t>
      </w:r>
      <w:r>
        <w:t xml:space="preserve"> at risk without any intervention. Without supported accommodation, many residents would likely be homeless and additional government-funded social and community housing would be needed to accommodate them.</w:t>
      </w:r>
      <w:r w:rsidR="009A00CA">
        <w:t xml:space="preserve"> There are an estimated 150 employees across </w:t>
      </w:r>
      <w:r w:rsidR="00BD2030">
        <w:t xml:space="preserve">Queensland </w:t>
      </w:r>
      <w:r w:rsidR="009A00CA">
        <w:t xml:space="preserve">working </w:t>
      </w:r>
      <w:r w:rsidR="007624D3">
        <w:t>directly with residents</w:t>
      </w:r>
      <w:r w:rsidR="00AE7069">
        <w:t>, in addition to employees of support services that would be impacted by the closure of the sector.</w:t>
      </w:r>
    </w:p>
    <w:p w14:paraId="3E6EDAA4" w14:textId="3FA9443D" w:rsidR="002C36B0" w:rsidRDefault="00791B45" w:rsidP="002C36B0">
      <w:r>
        <w:t xml:space="preserve">Funding the introduction of </w:t>
      </w:r>
      <w:r w:rsidR="00B606B7">
        <w:t xml:space="preserve">case management into </w:t>
      </w:r>
      <w:r w:rsidR="00DB28CE">
        <w:t>supported accommodation will</w:t>
      </w:r>
      <w:r w:rsidR="003026A5">
        <w:t xml:space="preserve"> help retain the declining sector, improve service quality and the quality and safety of </w:t>
      </w:r>
      <w:r>
        <w:t>facilities</w:t>
      </w:r>
      <w:r w:rsidR="003026A5">
        <w:t>, reduce costs to government</w:t>
      </w:r>
      <w:r>
        <w:t xml:space="preserve"> and reduce rents for residents.</w:t>
      </w:r>
    </w:p>
    <w:p w14:paraId="2C65843F" w14:textId="77777777" w:rsidR="008835E9" w:rsidRDefault="008835E9" w:rsidP="00824E8D">
      <w:pPr>
        <w:spacing w:after="120"/>
      </w:pPr>
    </w:p>
    <w:p w14:paraId="56B6F02D" w14:textId="77777777" w:rsidR="004F0356" w:rsidRDefault="004F0356" w:rsidP="00824E8D">
      <w:pPr>
        <w:spacing w:after="120"/>
      </w:pPr>
    </w:p>
    <w:p w14:paraId="26637730" w14:textId="5D406DF8" w:rsidR="004F0356" w:rsidRDefault="009E4B28" w:rsidP="004F0356">
      <w:pPr>
        <w:jc w:val="center"/>
      </w:pPr>
      <w:r w:rsidRPr="009E4B28">
        <w:rPr>
          <w:noProof/>
        </w:rPr>
        <w:drawing>
          <wp:inline distT="0" distB="0" distL="0" distR="0" wp14:anchorId="0BC7ACE6" wp14:editId="4823B5A0">
            <wp:extent cx="5423018" cy="3863340"/>
            <wp:effectExtent l="0" t="0" r="6350" b="3810"/>
            <wp:docPr id="871907722" name="Picture 1" descr="A diagram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07722" name="Picture 1" descr="A diagram of a house&#10;&#10;AI-generated content may be incorrect."/>
                    <pic:cNvPicPr/>
                  </pic:nvPicPr>
                  <pic:blipFill>
                    <a:blip r:embed="rId11"/>
                    <a:stretch>
                      <a:fillRect/>
                    </a:stretch>
                  </pic:blipFill>
                  <pic:spPr>
                    <a:xfrm>
                      <a:off x="0" y="0"/>
                      <a:ext cx="5435737" cy="3872401"/>
                    </a:xfrm>
                    <a:prstGeom prst="rect">
                      <a:avLst/>
                    </a:prstGeom>
                  </pic:spPr>
                </pic:pic>
              </a:graphicData>
            </a:graphic>
          </wp:inline>
        </w:drawing>
      </w:r>
    </w:p>
    <w:p w14:paraId="73923BBE" w14:textId="4C0AED9F" w:rsidR="003B27C9" w:rsidRDefault="003B27C9">
      <w:r>
        <w:br w:type="page"/>
      </w:r>
    </w:p>
    <w:p w14:paraId="5A4AC181" w14:textId="0C328607" w:rsidR="003B27C9" w:rsidRPr="008A3F2E" w:rsidRDefault="00322015" w:rsidP="00C853FA">
      <w:pPr>
        <w:pStyle w:val="Heading1"/>
        <w:rPr>
          <w:b/>
          <w:bCs/>
        </w:rPr>
      </w:pPr>
      <w:r>
        <w:rPr>
          <w:b/>
          <w:bCs/>
        </w:rPr>
        <w:lastRenderedPageBreak/>
        <w:t xml:space="preserve">Level 3 </w:t>
      </w:r>
      <w:r w:rsidR="0015746D">
        <w:rPr>
          <w:b/>
          <w:bCs/>
        </w:rPr>
        <w:t>Residential Services (</w:t>
      </w:r>
      <w:r>
        <w:rPr>
          <w:b/>
          <w:bCs/>
        </w:rPr>
        <w:t>Supported Accommodation</w:t>
      </w:r>
      <w:r w:rsidR="0015746D">
        <w:rPr>
          <w:b/>
          <w:bCs/>
        </w:rPr>
        <w:t>)</w:t>
      </w:r>
    </w:p>
    <w:p w14:paraId="63820D02" w14:textId="2572C336" w:rsidR="00E40203" w:rsidRPr="00E40203" w:rsidRDefault="00E40203" w:rsidP="00E40203">
      <w:pPr>
        <w:pStyle w:val="Heading1"/>
        <w:spacing w:before="120"/>
        <w:rPr>
          <w:b/>
          <w:bCs/>
          <w:sz w:val="28"/>
          <w:szCs w:val="28"/>
        </w:rPr>
      </w:pPr>
      <w:r w:rsidRPr="00E40203">
        <w:rPr>
          <w:b/>
          <w:bCs/>
          <w:sz w:val="28"/>
          <w:szCs w:val="28"/>
        </w:rPr>
        <w:t>Definition</w:t>
      </w:r>
    </w:p>
    <w:p w14:paraId="12CA0E89" w14:textId="7E511535" w:rsidR="00322015" w:rsidRDefault="00804829" w:rsidP="0053399A">
      <w:pPr>
        <w:spacing w:after="120"/>
      </w:pPr>
      <w:r w:rsidRPr="00804829">
        <w:t>Level 3 Residential Services make up one part of the overall accreditation process as a Residential Service operator.  Level 1 is accommodation only which generally includes a furnished room</w:t>
      </w:r>
      <w:r>
        <w:t xml:space="preserve"> and utilities</w:t>
      </w:r>
      <w:r w:rsidR="000E58E1">
        <w:t xml:space="preserve">, and </w:t>
      </w:r>
      <w:r w:rsidRPr="00804829">
        <w:t xml:space="preserve">Level 2 </w:t>
      </w:r>
      <w:r w:rsidR="000E58E1">
        <w:t>also includes f</w:t>
      </w:r>
      <w:r w:rsidRPr="00804829">
        <w:t xml:space="preserve">ood. Level 3 </w:t>
      </w:r>
      <w:r w:rsidR="00970FAD">
        <w:t xml:space="preserve">(also known as Supported Accommodation) </w:t>
      </w:r>
      <w:r w:rsidR="003A6DB0">
        <w:t>provides accommodation (bedroom with shared communal facilities)</w:t>
      </w:r>
      <w:r w:rsidR="003934C5">
        <w:t xml:space="preserve">, food and personal care services. </w:t>
      </w:r>
    </w:p>
    <w:p w14:paraId="47744487" w14:textId="32475507" w:rsidR="00274560" w:rsidRDefault="00B52662" w:rsidP="00C853FA">
      <w:pPr>
        <w:spacing w:after="120"/>
      </w:pPr>
      <w:r>
        <w:t xml:space="preserve">Supported accommodation </w:t>
      </w:r>
      <w:r w:rsidR="006D446F">
        <w:t>is regulated under</w:t>
      </w:r>
      <w:r w:rsidR="00274560">
        <w:t xml:space="preserve"> </w:t>
      </w:r>
      <w:r w:rsidR="00DA4216">
        <w:t xml:space="preserve">the </w:t>
      </w:r>
      <w:r w:rsidR="00274560">
        <w:t>Queensland Government</w:t>
      </w:r>
      <w:r w:rsidR="00DA4216">
        <w:t xml:space="preserve">’s </w:t>
      </w:r>
      <w:r w:rsidR="00DA4216" w:rsidRPr="00732737">
        <w:rPr>
          <w:i/>
          <w:iCs/>
        </w:rPr>
        <w:t xml:space="preserve">Residential Services </w:t>
      </w:r>
      <w:r w:rsidR="006F498C" w:rsidRPr="00732737">
        <w:rPr>
          <w:i/>
          <w:iCs/>
        </w:rPr>
        <w:t xml:space="preserve">(Accreditation) </w:t>
      </w:r>
      <w:r w:rsidR="00DA4216" w:rsidRPr="00732737">
        <w:rPr>
          <w:i/>
          <w:iCs/>
        </w:rPr>
        <w:t>Act</w:t>
      </w:r>
      <w:r w:rsidR="0093169B" w:rsidRPr="00732737">
        <w:rPr>
          <w:i/>
          <w:iCs/>
        </w:rPr>
        <w:t xml:space="preserve"> </w:t>
      </w:r>
      <w:r w:rsidR="00732737" w:rsidRPr="00732737">
        <w:rPr>
          <w:i/>
          <w:iCs/>
        </w:rPr>
        <w:t>2002</w:t>
      </w:r>
      <w:r w:rsidR="00732737">
        <w:t xml:space="preserve">. </w:t>
      </w:r>
      <w:r w:rsidR="00766600">
        <w:t>A p</w:t>
      </w:r>
      <w:r w:rsidR="00E3567A">
        <w:t>ersonal care services is defined in the Act as:</w:t>
      </w:r>
    </w:p>
    <w:p w14:paraId="3F824A24" w14:textId="77777777" w:rsidR="00E3567A" w:rsidRPr="00E3567A" w:rsidRDefault="00E3567A" w:rsidP="00481F82">
      <w:pPr>
        <w:spacing w:after="0"/>
        <w:ind w:left="720"/>
        <w:rPr>
          <w:rFonts w:cstheme="minorHAnsi"/>
          <w:i/>
          <w:iCs/>
        </w:rPr>
      </w:pPr>
      <w:r w:rsidRPr="00E3567A">
        <w:rPr>
          <w:rFonts w:cstheme="minorHAnsi"/>
          <w:b/>
          <w:bCs/>
          <w:i/>
          <w:iCs/>
        </w:rPr>
        <w:t>personal care service</w:t>
      </w:r>
      <w:r w:rsidRPr="00E3567A">
        <w:rPr>
          <w:rFonts w:cstheme="minorHAnsi"/>
          <w:i/>
          <w:iCs/>
        </w:rPr>
        <w:t> means a service of regularly providing a resident with—</w:t>
      </w:r>
    </w:p>
    <w:p w14:paraId="0463226B" w14:textId="480F6B0C" w:rsidR="00E3567A" w:rsidRPr="00481F82" w:rsidRDefault="00E3567A" w:rsidP="002F0C0D">
      <w:pPr>
        <w:pStyle w:val="ListParagraph"/>
        <w:numPr>
          <w:ilvl w:val="0"/>
          <w:numId w:val="3"/>
        </w:numPr>
        <w:spacing w:after="120"/>
        <w:rPr>
          <w:rFonts w:asciiTheme="minorHAnsi" w:hAnsiTheme="minorHAnsi" w:cstheme="minorHAnsi"/>
          <w:i/>
          <w:iCs/>
        </w:rPr>
      </w:pPr>
      <w:r w:rsidRPr="00481F82">
        <w:rPr>
          <w:rFonts w:asciiTheme="minorHAnsi" w:hAnsiTheme="minorHAnsi" w:cstheme="minorHAnsi"/>
          <w:i/>
          <w:iCs/>
        </w:rPr>
        <w:t>help in—</w:t>
      </w:r>
    </w:p>
    <w:p w14:paraId="6A2C2674" w14:textId="52DBB468" w:rsidR="00E3567A" w:rsidRPr="00481F82" w:rsidRDefault="00E3567A" w:rsidP="002F0C0D">
      <w:pPr>
        <w:pStyle w:val="ListParagraph"/>
        <w:numPr>
          <w:ilvl w:val="0"/>
          <w:numId w:val="2"/>
        </w:numPr>
        <w:spacing w:after="120"/>
        <w:rPr>
          <w:rFonts w:asciiTheme="minorHAnsi" w:hAnsiTheme="minorHAnsi" w:cstheme="minorHAnsi"/>
          <w:i/>
          <w:iCs/>
        </w:rPr>
      </w:pPr>
      <w:r w:rsidRPr="00481F82">
        <w:rPr>
          <w:rFonts w:asciiTheme="minorHAnsi" w:hAnsiTheme="minorHAnsi" w:cstheme="minorHAnsi"/>
          <w:i/>
          <w:iCs/>
        </w:rPr>
        <w:t>bathing, toileting or another activity related to personal hygiene; or</w:t>
      </w:r>
    </w:p>
    <w:p w14:paraId="3ACC2A33" w14:textId="2D88DF6C" w:rsidR="00E3567A" w:rsidRPr="00481F82" w:rsidRDefault="00E3567A" w:rsidP="002F0C0D">
      <w:pPr>
        <w:pStyle w:val="ListParagraph"/>
        <w:numPr>
          <w:ilvl w:val="0"/>
          <w:numId w:val="2"/>
        </w:numPr>
        <w:spacing w:after="120"/>
        <w:rPr>
          <w:rFonts w:asciiTheme="minorHAnsi" w:hAnsiTheme="minorHAnsi" w:cstheme="minorHAnsi"/>
          <w:i/>
          <w:iCs/>
        </w:rPr>
      </w:pPr>
      <w:r w:rsidRPr="00481F82">
        <w:rPr>
          <w:rFonts w:asciiTheme="minorHAnsi" w:hAnsiTheme="minorHAnsi" w:cstheme="minorHAnsi"/>
          <w:i/>
          <w:iCs/>
        </w:rPr>
        <w:t>dressing or undressing; or</w:t>
      </w:r>
    </w:p>
    <w:p w14:paraId="457BBC3F" w14:textId="27927973" w:rsidR="00E3567A" w:rsidRPr="00481F82" w:rsidRDefault="00E3567A" w:rsidP="002F0C0D">
      <w:pPr>
        <w:pStyle w:val="ListParagraph"/>
        <w:numPr>
          <w:ilvl w:val="0"/>
          <w:numId w:val="2"/>
        </w:numPr>
        <w:spacing w:after="120"/>
        <w:rPr>
          <w:rFonts w:asciiTheme="minorHAnsi" w:hAnsiTheme="minorHAnsi" w:cstheme="minorHAnsi"/>
          <w:i/>
          <w:iCs/>
        </w:rPr>
      </w:pPr>
      <w:r w:rsidRPr="00481F82">
        <w:rPr>
          <w:rFonts w:asciiTheme="minorHAnsi" w:hAnsiTheme="minorHAnsi" w:cstheme="minorHAnsi"/>
          <w:i/>
          <w:iCs/>
        </w:rPr>
        <w:t>consuming a meal; or</w:t>
      </w:r>
    </w:p>
    <w:p w14:paraId="36F18EEF" w14:textId="1F64BB6B" w:rsidR="00E3567A" w:rsidRPr="00481F82" w:rsidRDefault="00E3567A" w:rsidP="002F0C0D">
      <w:pPr>
        <w:pStyle w:val="ListParagraph"/>
        <w:numPr>
          <w:ilvl w:val="0"/>
          <w:numId w:val="2"/>
        </w:numPr>
        <w:spacing w:after="120"/>
        <w:rPr>
          <w:rFonts w:asciiTheme="minorHAnsi" w:hAnsiTheme="minorHAnsi" w:cstheme="minorHAnsi"/>
          <w:i/>
          <w:iCs/>
        </w:rPr>
      </w:pPr>
      <w:r w:rsidRPr="00481F82">
        <w:rPr>
          <w:rFonts w:asciiTheme="minorHAnsi" w:hAnsiTheme="minorHAnsi" w:cstheme="minorHAnsi"/>
          <w:i/>
          <w:iCs/>
        </w:rPr>
        <w:t>meeting a mobility problem of the resident; or</w:t>
      </w:r>
    </w:p>
    <w:p w14:paraId="6C053CB1" w14:textId="58A8EDA8" w:rsidR="00E3567A" w:rsidRPr="00481F82" w:rsidRDefault="00E3567A" w:rsidP="002F0C0D">
      <w:pPr>
        <w:pStyle w:val="ListParagraph"/>
        <w:numPr>
          <w:ilvl w:val="0"/>
          <w:numId w:val="2"/>
        </w:numPr>
        <w:spacing w:after="120"/>
        <w:rPr>
          <w:rFonts w:asciiTheme="minorHAnsi" w:hAnsiTheme="minorHAnsi" w:cstheme="minorHAnsi"/>
          <w:i/>
          <w:iCs/>
        </w:rPr>
      </w:pPr>
      <w:r w:rsidRPr="00481F82">
        <w:rPr>
          <w:rFonts w:asciiTheme="minorHAnsi" w:hAnsiTheme="minorHAnsi" w:cstheme="minorHAnsi"/>
          <w:i/>
          <w:iCs/>
        </w:rPr>
        <w:t>taking medication; or</w:t>
      </w:r>
    </w:p>
    <w:p w14:paraId="1FF63249" w14:textId="6DDADAB3" w:rsidR="00E3567A" w:rsidRPr="00481F82" w:rsidRDefault="00E3567A" w:rsidP="002F0C0D">
      <w:pPr>
        <w:pStyle w:val="ListParagraph"/>
        <w:numPr>
          <w:ilvl w:val="0"/>
          <w:numId w:val="3"/>
        </w:numPr>
        <w:spacing w:after="120"/>
        <w:rPr>
          <w:rFonts w:asciiTheme="minorHAnsi" w:hAnsiTheme="minorHAnsi" w:cstheme="minorHAnsi"/>
          <w:i/>
          <w:iCs/>
        </w:rPr>
      </w:pPr>
      <w:r w:rsidRPr="00481F82">
        <w:rPr>
          <w:rFonts w:asciiTheme="minorHAnsi" w:hAnsiTheme="minorHAnsi" w:cstheme="minorHAnsi"/>
          <w:i/>
          <w:iCs/>
        </w:rPr>
        <w:t>help in managing the resident’s financial affairs.</w:t>
      </w:r>
    </w:p>
    <w:p w14:paraId="56980A60" w14:textId="4061D6AF" w:rsidR="00E3567A" w:rsidRPr="00972D9C" w:rsidRDefault="00972D9C" w:rsidP="00972D9C">
      <w:pPr>
        <w:pStyle w:val="Heading1"/>
        <w:spacing w:before="120"/>
        <w:rPr>
          <w:b/>
          <w:bCs/>
          <w:sz w:val="28"/>
          <w:szCs w:val="28"/>
        </w:rPr>
      </w:pPr>
      <w:r w:rsidRPr="00972D9C">
        <w:rPr>
          <w:b/>
          <w:bCs/>
          <w:sz w:val="28"/>
          <w:szCs w:val="28"/>
        </w:rPr>
        <w:t>Residents of Supported Accommodation</w:t>
      </w:r>
    </w:p>
    <w:p w14:paraId="7D7F2DEE" w14:textId="35BDB61F" w:rsidR="00BB3875" w:rsidRDefault="00DC01AA" w:rsidP="0053399A">
      <w:pPr>
        <w:spacing w:after="120"/>
      </w:pPr>
      <w:r>
        <w:t>Residents of s</w:t>
      </w:r>
      <w:r w:rsidR="00BB3875">
        <w:t xml:space="preserve">upported accommodation </w:t>
      </w:r>
      <w:r w:rsidR="00BB3875" w:rsidRPr="004938CA">
        <w:t xml:space="preserve">services </w:t>
      </w:r>
      <w:r>
        <w:t xml:space="preserve">often have </w:t>
      </w:r>
      <w:r w:rsidR="009C167B">
        <w:t>“</w:t>
      </w:r>
      <w:r w:rsidR="00BB3875" w:rsidRPr="004938CA">
        <w:t>complex support needs, many of whom have an intellectual disability, acquired brain injury, mental health concerns, or issues with drug and alcohol use. Many level 3 residential service residents have some degree of impaired decision-making ability, and often the decision-making ability of the person, and whether or not they have a decision-maker appointed for particular decisions, will not be known or recognised by the service provider.</w:t>
      </w:r>
      <w:r w:rsidR="009C167B">
        <w:t>”</w:t>
      </w:r>
      <w:r w:rsidR="00581EE7">
        <w:t xml:space="preserve"> (</w:t>
      </w:r>
      <w:r w:rsidR="00581EE7" w:rsidRPr="001F4A14">
        <w:rPr>
          <w:i/>
          <w:iCs/>
        </w:rPr>
        <w:t>'Safe, secure and affordable'? The need for an inquiry into supported accommodation in Queensland</w:t>
      </w:r>
      <w:r w:rsidR="001F4A14">
        <w:rPr>
          <w:i/>
          <w:iCs/>
        </w:rPr>
        <w:t>,</w:t>
      </w:r>
      <w:r w:rsidR="00581EE7" w:rsidRPr="00581EE7">
        <w:t xml:space="preserve"> August 2023. The Public Advocate.</w:t>
      </w:r>
      <w:r w:rsidR="00581EE7">
        <w:t>)</w:t>
      </w:r>
    </w:p>
    <w:p w14:paraId="3C0E5FB3" w14:textId="6B101786" w:rsidR="00B22FC0" w:rsidRDefault="00C8238C" w:rsidP="0053399A">
      <w:pPr>
        <w:spacing w:after="0"/>
      </w:pPr>
      <w:r>
        <w:t>The e</w:t>
      </w:r>
      <w:r w:rsidR="000D1993">
        <w:t xml:space="preserve">valuation of the </w:t>
      </w:r>
      <w:r w:rsidR="001568E7">
        <w:t>SAPA Resident Need</w:t>
      </w:r>
      <w:r w:rsidR="00D86D66">
        <w:t>s Screening Tool</w:t>
      </w:r>
      <w:r>
        <w:t xml:space="preserve"> found </w:t>
      </w:r>
      <w:r w:rsidR="00D86D66">
        <w:t>the key demographics of residents</w:t>
      </w:r>
      <w:r w:rsidR="00F315EC">
        <w:t xml:space="preserve"> to be</w:t>
      </w:r>
      <w:r w:rsidR="00D86D66">
        <w:t>:</w:t>
      </w:r>
    </w:p>
    <w:p w14:paraId="22B4CB0B" w14:textId="55468863" w:rsidR="00D86D66" w:rsidRPr="00CD4F2F" w:rsidRDefault="00B22FC0" w:rsidP="002F0C0D">
      <w:pPr>
        <w:pStyle w:val="ListParagraph"/>
        <w:numPr>
          <w:ilvl w:val="0"/>
          <w:numId w:val="1"/>
        </w:numPr>
        <w:spacing w:after="120"/>
        <w:ind w:left="714" w:hanging="357"/>
        <w:rPr>
          <w:rFonts w:ascii="Calibri" w:hAnsi="Calibri" w:cs="Calibri"/>
        </w:rPr>
      </w:pPr>
      <w:r w:rsidRPr="00CD4F2F">
        <w:rPr>
          <w:rFonts w:ascii="Calibri" w:hAnsi="Calibri" w:cs="Calibri"/>
        </w:rPr>
        <w:t>76</w:t>
      </w:r>
      <w:r w:rsidR="004C4A34">
        <w:rPr>
          <w:rFonts w:ascii="Calibri" w:hAnsi="Calibri" w:cs="Calibri"/>
        </w:rPr>
        <w:t xml:space="preserve"> per cent</w:t>
      </w:r>
      <w:r w:rsidRPr="00CD4F2F">
        <w:rPr>
          <w:rFonts w:ascii="Calibri" w:hAnsi="Calibri" w:cs="Calibri"/>
        </w:rPr>
        <w:t xml:space="preserve"> over the age of 45 </w:t>
      </w:r>
      <w:r w:rsidR="00A43EE4">
        <w:rPr>
          <w:rFonts w:ascii="Calibri" w:hAnsi="Calibri" w:cs="Calibri"/>
        </w:rPr>
        <w:t>years</w:t>
      </w:r>
    </w:p>
    <w:p w14:paraId="2BAD8243" w14:textId="3BC9D02C" w:rsidR="00D86D66" w:rsidRPr="00CD4F2F" w:rsidRDefault="00D86D66" w:rsidP="002F0C0D">
      <w:pPr>
        <w:pStyle w:val="ListParagraph"/>
        <w:numPr>
          <w:ilvl w:val="0"/>
          <w:numId w:val="1"/>
        </w:numPr>
        <w:spacing w:after="120"/>
        <w:ind w:left="714" w:hanging="357"/>
        <w:rPr>
          <w:rFonts w:ascii="Calibri" w:hAnsi="Calibri" w:cs="Calibri"/>
        </w:rPr>
      </w:pPr>
      <w:r w:rsidRPr="00CD4F2F">
        <w:rPr>
          <w:rFonts w:ascii="Calibri" w:hAnsi="Calibri" w:cs="Calibri"/>
        </w:rPr>
        <w:t>70.1</w:t>
      </w:r>
      <w:r w:rsidR="004C4A34">
        <w:rPr>
          <w:rFonts w:ascii="Calibri" w:hAnsi="Calibri" w:cs="Calibri"/>
        </w:rPr>
        <w:t xml:space="preserve"> per cent</w:t>
      </w:r>
      <w:r w:rsidRPr="00CD4F2F">
        <w:rPr>
          <w:rFonts w:ascii="Calibri" w:hAnsi="Calibri" w:cs="Calibri"/>
        </w:rPr>
        <w:t xml:space="preserve"> </w:t>
      </w:r>
      <w:r w:rsidR="00B22FC0" w:rsidRPr="00CD4F2F">
        <w:rPr>
          <w:rFonts w:ascii="Calibri" w:hAnsi="Calibri" w:cs="Calibri"/>
        </w:rPr>
        <w:t>male</w:t>
      </w:r>
    </w:p>
    <w:p w14:paraId="5DB68955" w14:textId="0973C995" w:rsidR="00CD4F2F" w:rsidRPr="00CD4F2F" w:rsidRDefault="00B22FC0" w:rsidP="002F0C0D">
      <w:pPr>
        <w:pStyle w:val="ListParagraph"/>
        <w:numPr>
          <w:ilvl w:val="0"/>
          <w:numId w:val="1"/>
        </w:numPr>
        <w:spacing w:after="120"/>
        <w:ind w:left="714" w:hanging="357"/>
        <w:rPr>
          <w:rFonts w:ascii="Calibri" w:hAnsi="Calibri" w:cs="Calibri"/>
        </w:rPr>
      </w:pPr>
      <w:r w:rsidRPr="00CD4F2F">
        <w:rPr>
          <w:rFonts w:ascii="Calibri" w:hAnsi="Calibri" w:cs="Calibri"/>
        </w:rPr>
        <w:t>92.7</w:t>
      </w:r>
      <w:r w:rsidR="004C4A34">
        <w:rPr>
          <w:rFonts w:ascii="Calibri" w:hAnsi="Calibri" w:cs="Calibri"/>
        </w:rPr>
        <w:t xml:space="preserve"> per cent</w:t>
      </w:r>
      <w:r w:rsidRPr="00CD4F2F">
        <w:rPr>
          <w:rFonts w:ascii="Calibri" w:hAnsi="Calibri" w:cs="Calibri"/>
        </w:rPr>
        <w:t xml:space="preserve"> </w:t>
      </w:r>
      <w:r w:rsidR="0093208A" w:rsidRPr="00CD4F2F">
        <w:rPr>
          <w:rFonts w:ascii="Calibri" w:hAnsi="Calibri" w:cs="Calibri"/>
        </w:rPr>
        <w:t xml:space="preserve">receive </w:t>
      </w:r>
      <w:r w:rsidRPr="00CD4F2F">
        <w:rPr>
          <w:rFonts w:ascii="Calibri" w:hAnsi="Calibri" w:cs="Calibri"/>
        </w:rPr>
        <w:t>the Disability Support Pension (DSP)</w:t>
      </w:r>
    </w:p>
    <w:p w14:paraId="612523F8" w14:textId="62CCFB3A" w:rsidR="00CD4F2F" w:rsidRPr="00CD4F2F" w:rsidRDefault="00B22FC0" w:rsidP="002F0C0D">
      <w:pPr>
        <w:pStyle w:val="ListParagraph"/>
        <w:numPr>
          <w:ilvl w:val="0"/>
          <w:numId w:val="1"/>
        </w:numPr>
        <w:spacing w:after="120"/>
        <w:ind w:left="714" w:hanging="357"/>
        <w:rPr>
          <w:rFonts w:ascii="Calibri" w:hAnsi="Calibri" w:cs="Calibri"/>
        </w:rPr>
      </w:pPr>
      <w:r w:rsidRPr="00CD4F2F">
        <w:rPr>
          <w:rFonts w:ascii="Calibri" w:hAnsi="Calibri" w:cs="Calibri"/>
        </w:rPr>
        <w:t>73.2</w:t>
      </w:r>
      <w:r w:rsidR="004C4A34">
        <w:rPr>
          <w:rFonts w:ascii="Calibri" w:hAnsi="Calibri" w:cs="Calibri"/>
        </w:rPr>
        <w:t xml:space="preserve"> per cent</w:t>
      </w:r>
      <w:r w:rsidRPr="00CD4F2F">
        <w:rPr>
          <w:rFonts w:ascii="Calibri" w:hAnsi="Calibri" w:cs="Calibri"/>
        </w:rPr>
        <w:t xml:space="preserve"> have multiple diagnoses, with up to 10 different conditions. The most common diagnoses include</w:t>
      </w:r>
      <w:r w:rsidR="00CD4F2F" w:rsidRPr="00CD4F2F">
        <w:rPr>
          <w:rFonts w:ascii="Calibri" w:hAnsi="Calibri" w:cs="Calibri"/>
        </w:rPr>
        <w:t>:</w:t>
      </w:r>
    </w:p>
    <w:p w14:paraId="1A7C5922" w14:textId="38E2093D" w:rsidR="00CD4F2F" w:rsidRPr="00CD4F2F" w:rsidRDefault="00B22FC0" w:rsidP="002F0C0D">
      <w:pPr>
        <w:pStyle w:val="ListParagraph"/>
        <w:numPr>
          <w:ilvl w:val="1"/>
          <w:numId w:val="4"/>
        </w:numPr>
        <w:spacing w:after="120"/>
        <w:rPr>
          <w:rFonts w:ascii="Calibri" w:hAnsi="Calibri" w:cs="Calibri"/>
        </w:rPr>
      </w:pPr>
      <w:r w:rsidRPr="00CD4F2F">
        <w:rPr>
          <w:rFonts w:ascii="Calibri" w:hAnsi="Calibri" w:cs="Calibri"/>
        </w:rPr>
        <w:t>mental health/psychosocial issues (85</w:t>
      </w:r>
      <w:r w:rsidR="004C4A34">
        <w:rPr>
          <w:rFonts w:ascii="Calibri" w:hAnsi="Calibri" w:cs="Calibri"/>
        </w:rPr>
        <w:t xml:space="preserve"> per cent</w:t>
      </w:r>
      <w:r w:rsidRPr="00CD4F2F">
        <w:rPr>
          <w:rFonts w:ascii="Calibri" w:hAnsi="Calibri" w:cs="Calibri"/>
        </w:rPr>
        <w:t>)</w:t>
      </w:r>
    </w:p>
    <w:p w14:paraId="5F68FB54" w14:textId="66D75695" w:rsidR="00CD4F2F" w:rsidRPr="00CD4F2F" w:rsidRDefault="00B22FC0" w:rsidP="002F0C0D">
      <w:pPr>
        <w:pStyle w:val="ListParagraph"/>
        <w:numPr>
          <w:ilvl w:val="1"/>
          <w:numId w:val="4"/>
        </w:numPr>
        <w:spacing w:after="120"/>
        <w:rPr>
          <w:rFonts w:ascii="Calibri" w:hAnsi="Calibri" w:cs="Calibri"/>
        </w:rPr>
      </w:pPr>
      <w:r w:rsidRPr="00CD4F2F">
        <w:rPr>
          <w:rFonts w:ascii="Calibri" w:hAnsi="Calibri" w:cs="Calibri"/>
        </w:rPr>
        <w:t>chronic health issues (46.8</w:t>
      </w:r>
      <w:r w:rsidR="004C4A34">
        <w:rPr>
          <w:rFonts w:ascii="Calibri" w:hAnsi="Calibri" w:cs="Calibri"/>
        </w:rPr>
        <w:t xml:space="preserve"> per cent</w:t>
      </w:r>
      <w:r w:rsidRPr="00CD4F2F">
        <w:rPr>
          <w:rFonts w:ascii="Calibri" w:hAnsi="Calibri" w:cs="Calibri"/>
        </w:rPr>
        <w:t>)</w:t>
      </w:r>
    </w:p>
    <w:p w14:paraId="2D0D2040" w14:textId="3F8B99F0" w:rsidR="00CD4F2F" w:rsidRPr="00CD4F2F" w:rsidRDefault="00B22FC0" w:rsidP="002F0C0D">
      <w:pPr>
        <w:pStyle w:val="ListParagraph"/>
        <w:numPr>
          <w:ilvl w:val="1"/>
          <w:numId w:val="4"/>
        </w:numPr>
        <w:spacing w:after="120"/>
        <w:rPr>
          <w:rFonts w:ascii="Calibri" w:hAnsi="Calibri" w:cs="Calibri"/>
        </w:rPr>
      </w:pPr>
      <w:r w:rsidRPr="00CD4F2F">
        <w:rPr>
          <w:rFonts w:ascii="Calibri" w:hAnsi="Calibri" w:cs="Calibri"/>
        </w:rPr>
        <w:t>intellectual impairments (27.5</w:t>
      </w:r>
      <w:r w:rsidR="004C4A34">
        <w:rPr>
          <w:rFonts w:ascii="Calibri" w:hAnsi="Calibri" w:cs="Calibri"/>
        </w:rPr>
        <w:t xml:space="preserve"> per cent</w:t>
      </w:r>
      <w:r w:rsidRPr="00CD4F2F">
        <w:rPr>
          <w:rFonts w:ascii="Calibri" w:hAnsi="Calibri" w:cs="Calibri"/>
        </w:rPr>
        <w:t>)</w:t>
      </w:r>
      <w:r w:rsidR="00CD4F2F" w:rsidRPr="00CD4F2F">
        <w:rPr>
          <w:rFonts w:ascii="Calibri" w:hAnsi="Calibri" w:cs="Calibri"/>
        </w:rPr>
        <w:t>.</w:t>
      </w:r>
    </w:p>
    <w:p w14:paraId="63AB7039" w14:textId="742E6BDB" w:rsidR="00F315EC" w:rsidRDefault="00947B0E" w:rsidP="0053399A">
      <w:pPr>
        <w:spacing w:after="120"/>
      </w:pPr>
      <w:r>
        <w:t>The evaluation also found that over 35</w:t>
      </w:r>
      <w:r w:rsidR="004C4A34">
        <w:t xml:space="preserve"> per cent</w:t>
      </w:r>
      <w:r>
        <w:t xml:space="preserve"> of r</w:t>
      </w:r>
      <w:r w:rsidR="00327F60">
        <w:t xml:space="preserve">esidents are referred to </w:t>
      </w:r>
      <w:r>
        <w:t xml:space="preserve">supported accommodation from a mainstream service (hospital </w:t>
      </w:r>
      <w:r w:rsidR="00F01CF0">
        <w:t>21</w:t>
      </w:r>
      <w:r w:rsidR="004C4A34">
        <w:t xml:space="preserve"> per cent</w:t>
      </w:r>
      <w:r w:rsidR="00F01CF0">
        <w:t>, mental health 10.9</w:t>
      </w:r>
      <w:r w:rsidR="004C4A34">
        <w:t xml:space="preserve"> per cent</w:t>
      </w:r>
      <w:r w:rsidR="00F01CF0">
        <w:t xml:space="preserve"> and corrective services 3.6</w:t>
      </w:r>
      <w:r w:rsidR="004C4A34">
        <w:t xml:space="preserve"> per cent</w:t>
      </w:r>
      <w:r w:rsidR="00F01CF0">
        <w:t xml:space="preserve">). </w:t>
      </w:r>
      <w:r w:rsidR="00BB49B9">
        <w:t xml:space="preserve">Other referral pathways included </w:t>
      </w:r>
      <w:r w:rsidR="005101F9">
        <w:t>family and friends (16.7</w:t>
      </w:r>
      <w:r w:rsidR="004C4A34">
        <w:t xml:space="preserve"> per cent</w:t>
      </w:r>
      <w:r w:rsidR="005101F9">
        <w:t xml:space="preserve">), </w:t>
      </w:r>
      <w:r w:rsidR="00BB49B9">
        <w:t>other supported accommodation providers (13.6</w:t>
      </w:r>
      <w:r w:rsidR="004C4A34">
        <w:t xml:space="preserve"> per cent</w:t>
      </w:r>
      <w:r w:rsidR="00BB49B9">
        <w:t xml:space="preserve">), </w:t>
      </w:r>
      <w:r w:rsidR="005101F9">
        <w:t>and N</w:t>
      </w:r>
      <w:r w:rsidR="00154036">
        <w:t xml:space="preserve">ational Disability </w:t>
      </w:r>
      <w:r w:rsidR="005101F9">
        <w:t>I</w:t>
      </w:r>
      <w:r w:rsidR="00154036">
        <w:t xml:space="preserve">nsurance </w:t>
      </w:r>
      <w:r w:rsidR="005101F9">
        <w:t>S</w:t>
      </w:r>
      <w:r w:rsidR="00154036">
        <w:t>cheme (NDIS)</w:t>
      </w:r>
      <w:r w:rsidR="005101F9">
        <w:t xml:space="preserve"> Support Coordinators (12</w:t>
      </w:r>
      <w:r w:rsidR="00154036">
        <w:t xml:space="preserve"> pe cent</w:t>
      </w:r>
      <w:r w:rsidR="005101F9">
        <w:t>).</w:t>
      </w:r>
      <w:r w:rsidR="002E4BF1">
        <w:t xml:space="preserve"> Nearly 30</w:t>
      </w:r>
      <w:r w:rsidR="00154036">
        <w:t xml:space="preserve"> per cent</w:t>
      </w:r>
      <w:r w:rsidR="002E4BF1">
        <w:t xml:space="preserve"> of residents’ previous housing situation would be considered as temporary.</w:t>
      </w:r>
    </w:p>
    <w:p w14:paraId="212F0CE5" w14:textId="237FA784" w:rsidR="00DF1911" w:rsidRPr="00154036" w:rsidRDefault="00A17A52" w:rsidP="00154036">
      <w:pPr>
        <w:pStyle w:val="Heading1"/>
        <w:keepNext w:val="0"/>
        <w:jc w:val="center"/>
        <w:rPr>
          <w:b/>
          <w:bCs/>
          <w:i/>
          <w:iCs/>
          <w:color w:val="5CC3B0"/>
          <w:sz w:val="24"/>
          <w:szCs w:val="24"/>
        </w:rPr>
      </w:pPr>
      <w:r>
        <w:rPr>
          <w:b/>
          <w:bCs/>
          <w:i/>
          <w:iCs/>
          <w:color w:val="5CC3B0"/>
          <w:sz w:val="24"/>
          <w:szCs w:val="24"/>
        </w:rPr>
        <w:t>“</w:t>
      </w:r>
      <w:r w:rsidR="005D7C78" w:rsidRPr="00A17A52">
        <w:rPr>
          <w:b/>
          <w:bCs/>
          <w:i/>
          <w:iCs/>
          <w:color w:val="5CC3B0"/>
          <w:sz w:val="24"/>
          <w:szCs w:val="24"/>
        </w:rPr>
        <w:t>People who enter level 3 residential services are often identified as those who have ‘fallen through the gaps’ in other systems.</w:t>
      </w:r>
      <w:r>
        <w:rPr>
          <w:b/>
          <w:bCs/>
          <w:i/>
          <w:iCs/>
          <w:color w:val="5CC3B0"/>
          <w:sz w:val="24"/>
          <w:szCs w:val="24"/>
        </w:rPr>
        <w:t xml:space="preserve">” </w:t>
      </w:r>
      <w:r w:rsidR="00116069">
        <w:rPr>
          <w:b/>
          <w:bCs/>
          <w:i/>
          <w:iCs/>
          <w:color w:val="5CC3B0"/>
          <w:sz w:val="24"/>
          <w:szCs w:val="24"/>
        </w:rPr>
        <w:t>Public Advocate Report, 20</w:t>
      </w:r>
      <w:r w:rsidR="00D51CD8">
        <w:rPr>
          <w:b/>
          <w:bCs/>
          <w:i/>
          <w:iCs/>
          <w:color w:val="5CC3B0"/>
          <w:sz w:val="24"/>
          <w:szCs w:val="24"/>
        </w:rPr>
        <w:t>2</w:t>
      </w:r>
      <w:r w:rsidR="00116069">
        <w:rPr>
          <w:b/>
          <w:bCs/>
          <w:i/>
          <w:iCs/>
          <w:color w:val="5CC3B0"/>
          <w:sz w:val="24"/>
          <w:szCs w:val="24"/>
        </w:rPr>
        <w:t>3</w:t>
      </w:r>
    </w:p>
    <w:p w14:paraId="7C3E3485" w14:textId="7F30F32F" w:rsidR="005B4602" w:rsidRPr="00972D9C" w:rsidRDefault="005B4602" w:rsidP="005B4602">
      <w:pPr>
        <w:pStyle w:val="Heading1"/>
        <w:spacing w:before="120"/>
        <w:rPr>
          <w:b/>
          <w:bCs/>
          <w:sz w:val="28"/>
          <w:szCs w:val="28"/>
        </w:rPr>
      </w:pPr>
      <w:r>
        <w:rPr>
          <w:b/>
          <w:bCs/>
          <w:sz w:val="28"/>
          <w:szCs w:val="28"/>
        </w:rPr>
        <w:lastRenderedPageBreak/>
        <w:t>Operators</w:t>
      </w:r>
      <w:r w:rsidRPr="00972D9C">
        <w:rPr>
          <w:b/>
          <w:bCs/>
          <w:sz w:val="28"/>
          <w:szCs w:val="28"/>
        </w:rPr>
        <w:t xml:space="preserve"> of Supported Accommodation</w:t>
      </w:r>
    </w:p>
    <w:p w14:paraId="1DB9D723" w14:textId="00A54522" w:rsidR="00BB3875" w:rsidRDefault="004E0D28" w:rsidP="002441BF">
      <w:pPr>
        <w:spacing w:after="120"/>
      </w:pPr>
      <w:r>
        <w:t xml:space="preserve">Supported accommodation is not funded by the Queensland Government. The majority of </w:t>
      </w:r>
      <w:r w:rsidR="002737AB">
        <w:t xml:space="preserve">providers </w:t>
      </w:r>
      <w:r>
        <w:t>are privately owned companies</w:t>
      </w:r>
      <w:r w:rsidR="00FA32CF">
        <w:t xml:space="preserve"> </w:t>
      </w:r>
      <w:r w:rsidR="00A007D1">
        <w:t>and</w:t>
      </w:r>
      <w:r w:rsidR="00FA32CF">
        <w:t xml:space="preserve"> </w:t>
      </w:r>
      <w:r w:rsidR="00173453">
        <w:t xml:space="preserve">are committed to providing a safe, </w:t>
      </w:r>
      <w:r w:rsidR="00154036">
        <w:t>high-quality</w:t>
      </w:r>
      <w:r w:rsidR="00173453">
        <w:t xml:space="preserve"> home for residents.</w:t>
      </w:r>
    </w:p>
    <w:p w14:paraId="761E79CF" w14:textId="7FFC2017" w:rsidR="00057DCC" w:rsidRDefault="00057DCC" w:rsidP="002441BF">
      <w:pPr>
        <w:spacing w:after="120"/>
      </w:pPr>
      <w:r>
        <w:t xml:space="preserve">Providers charge residents rent and a fee to cover the accommodation, food and personal care services. The </w:t>
      </w:r>
      <w:r w:rsidR="003071D8">
        <w:t xml:space="preserve">total </w:t>
      </w:r>
      <w:r w:rsidR="00FD77B6">
        <w:t>charge</w:t>
      </w:r>
      <w:r w:rsidR="003071D8">
        <w:t xml:space="preserve"> is set at up to 85 per cent of the resident’s income</w:t>
      </w:r>
      <w:r w:rsidR="0093208A">
        <w:t xml:space="preserve"> (usually DSP)</w:t>
      </w:r>
      <w:r w:rsidR="003071D8">
        <w:t xml:space="preserve"> plus 100</w:t>
      </w:r>
      <w:r w:rsidR="00154036">
        <w:t xml:space="preserve"> per cent</w:t>
      </w:r>
      <w:r w:rsidR="003071D8">
        <w:t xml:space="preserve"> of Commonwealth Rent Assistance.</w:t>
      </w:r>
      <w:r w:rsidR="00A5359C">
        <w:t xml:space="preserve"> </w:t>
      </w:r>
      <w:r w:rsidR="00321442">
        <w:t>Some operators may charge lower rents</w:t>
      </w:r>
      <w:r w:rsidR="00184BA5">
        <w:t>, with some charging as low as 60</w:t>
      </w:r>
      <w:r w:rsidR="00154036">
        <w:t xml:space="preserve"> per cent</w:t>
      </w:r>
      <w:r w:rsidR="00184BA5">
        <w:t xml:space="preserve"> of total income.</w:t>
      </w:r>
    </w:p>
    <w:p w14:paraId="457E4F12" w14:textId="1C0B8286" w:rsidR="001601AC" w:rsidRDefault="00231EEC" w:rsidP="002441BF">
      <w:pPr>
        <w:spacing w:after="120"/>
      </w:pPr>
      <w:r>
        <w:t>The staff of supported accommodation providers are mostly not qualified</w:t>
      </w:r>
      <w:r w:rsidR="00994A3A">
        <w:t xml:space="preserve"> in social work</w:t>
      </w:r>
      <w:r>
        <w:t>. In some cases, a person employed as a cook would be supporting residents with medication management</w:t>
      </w:r>
      <w:r w:rsidR="00994A3A">
        <w:t xml:space="preserve"> or attempting to de-escalate behaviours.</w:t>
      </w:r>
      <w:r w:rsidR="00BD2030">
        <w:t xml:space="preserve"> </w:t>
      </w:r>
      <w:r w:rsidR="003B76CD">
        <w:t>T</w:t>
      </w:r>
      <w:r w:rsidR="00BD2030">
        <w:t xml:space="preserve">here </w:t>
      </w:r>
      <w:r w:rsidR="007E0AA4">
        <w:t>are</w:t>
      </w:r>
      <w:r w:rsidR="003B76CD">
        <w:t xml:space="preserve"> an estimated </w:t>
      </w:r>
      <w:r w:rsidR="00BD2030">
        <w:t xml:space="preserve">150 employees working </w:t>
      </w:r>
      <w:r w:rsidR="003B76CD">
        <w:t>for the supported accommodation operators, plus additional people working in associate</w:t>
      </w:r>
      <w:r w:rsidR="00F91060">
        <w:t>d</w:t>
      </w:r>
      <w:r w:rsidR="003B76CD">
        <w:t xml:space="preserve"> services such as the NDIS businesses.</w:t>
      </w:r>
    </w:p>
    <w:p w14:paraId="67FB81BE" w14:textId="46107961" w:rsidR="00284DD0" w:rsidRDefault="002737AB" w:rsidP="002441BF">
      <w:pPr>
        <w:spacing w:after="120"/>
      </w:pPr>
      <w:r>
        <w:t xml:space="preserve">Providers </w:t>
      </w:r>
      <w:r w:rsidR="00173453">
        <w:t xml:space="preserve">are represented by </w:t>
      </w:r>
      <w:r w:rsidR="0015746D">
        <w:t xml:space="preserve">the peak body </w:t>
      </w:r>
      <w:r w:rsidR="0015746D" w:rsidRPr="0015746D">
        <w:t>Supported Accommodation Providers Association</w:t>
      </w:r>
      <w:r w:rsidR="0015746D">
        <w:t xml:space="preserve"> (SAPA).</w:t>
      </w:r>
      <w:r w:rsidR="004229C5">
        <w:t xml:space="preserve"> In representations to government and in the conduct of this report, </w:t>
      </w:r>
      <w:r w:rsidR="000C1BFD">
        <w:t xml:space="preserve">SAPA has </w:t>
      </w:r>
      <w:r w:rsidR="004229C5">
        <w:t xml:space="preserve">stated that </w:t>
      </w:r>
      <w:r w:rsidR="00663596">
        <w:t>individual providers</w:t>
      </w:r>
      <w:r w:rsidR="004229C5">
        <w:t xml:space="preserve"> </w:t>
      </w:r>
      <w:r w:rsidR="004348F3">
        <w:t xml:space="preserve">face </w:t>
      </w:r>
      <w:r w:rsidR="004229C5">
        <w:t>annual deficits with charges not covering</w:t>
      </w:r>
      <w:r w:rsidR="004348F3">
        <w:t xml:space="preserve"> the</w:t>
      </w:r>
      <w:r w:rsidR="004229C5">
        <w:t xml:space="preserve"> costs of services, rents, maintenance and repairs.</w:t>
      </w:r>
      <w:r w:rsidR="00353C68">
        <w:t xml:space="preserve"> </w:t>
      </w:r>
      <w:r w:rsidR="00B77993">
        <w:t xml:space="preserve">Some operators </w:t>
      </w:r>
      <w:r w:rsidR="0076268F">
        <w:t>have started NDIS businesses to subsidise the</w:t>
      </w:r>
      <w:r w:rsidR="008A2369">
        <w:t>ir</w:t>
      </w:r>
      <w:r w:rsidR="0076268F">
        <w:t xml:space="preserve"> </w:t>
      </w:r>
      <w:r w:rsidR="00227948">
        <w:t>supported accommodation operations.</w:t>
      </w:r>
    </w:p>
    <w:p w14:paraId="24306BEE" w14:textId="46EEC1E9" w:rsidR="0076268F" w:rsidRDefault="00227948" w:rsidP="002441BF">
      <w:pPr>
        <w:spacing w:after="120"/>
      </w:pPr>
      <w:r>
        <w:t>Providers are also concerned about the support they can viably provide their residents to ensure they have a high level of safety, health and wellbeing.</w:t>
      </w:r>
    </w:p>
    <w:p w14:paraId="1FB89B2F" w14:textId="337C7246" w:rsidR="00227948" w:rsidRDefault="00160169" w:rsidP="002441BF">
      <w:pPr>
        <w:spacing w:after="120"/>
      </w:pPr>
      <w:r>
        <w:t xml:space="preserve">Operators are also subject to other regulatory </w:t>
      </w:r>
      <w:r w:rsidR="00F12413">
        <w:t>conditions</w:t>
      </w:r>
      <w:r w:rsidR="00C93F28">
        <w:t xml:space="preserve"> such as </w:t>
      </w:r>
      <w:r w:rsidR="004748F8">
        <w:t xml:space="preserve">building conditions, fire management and </w:t>
      </w:r>
      <w:r w:rsidR="00C93F28">
        <w:t>food safety.</w:t>
      </w:r>
    </w:p>
    <w:p w14:paraId="3BC03529" w14:textId="75BEE1E1" w:rsidR="00201A4A" w:rsidRPr="00201A4A" w:rsidRDefault="00CE4A33" w:rsidP="00201A4A">
      <w:pPr>
        <w:pStyle w:val="Heading1"/>
        <w:spacing w:before="120"/>
        <w:rPr>
          <w:b/>
          <w:bCs/>
          <w:sz w:val="28"/>
          <w:szCs w:val="28"/>
        </w:rPr>
      </w:pPr>
      <w:r>
        <w:rPr>
          <w:b/>
          <w:bCs/>
          <w:sz w:val="28"/>
          <w:szCs w:val="28"/>
        </w:rPr>
        <w:t xml:space="preserve">Snapshot of the </w:t>
      </w:r>
      <w:r w:rsidR="00201A4A" w:rsidRPr="00201A4A">
        <w:rPr>
          <w:b/>
          <w:bCs/>
          <w:sz w:val="28"/>
          <w:szCs w:val="28"/>
        </w:rPr>
        <w:t xml:space="preserve">Supported Accommodation </w:t>
      </w:r>
      <w:r>
        <w:rPr>
          <w:b/>
          <w:bCs/>
          <w:sz w:val="28"/>
          <w:szCs w:val="28"/>
        </w:rPr>
        <w:t>Sector</w:t>
      </w:r>
    </w:p>
    <w:p w14:paraId="4AE6BCBD" w14:textId="403E85F5" w:rsidR="004F378C" w:rsidRDefault="005610D7" w:rsidP="002441BF">
      <w:pPr>
        <w:spacing w:after="120"/>
      </w:pPr>
      <w:r>
        <w:t xml:space="preserve">According to the </w:t>
      </w:r>
      <w:r w:rsidR="002A0480">
        <w:t xml:space="preserve">Public Register of Residential Services, as at </w:t>
      </w:r>
      <w:r w:rsidR="00C67779">
        <w:t xml:space="preserve">April 2025 </w:t>
      </w:r>
      <w:r w:rsidR="00B15ACA">
        <w:t>there were 3</w:t>
      </w:r>
      <w:r w:rsidR="00C67779">
        <w:t>6</w:t>
      </w:r>
      <w:r w:rsidR="00B15ACA">
        <w:t xml:space="preserve"> supported accommodation </w:t>
      </w:r>
      <w:r w:rsidR="00B80A4C">
        <w:t>services</w:t>
      </w:r>
      <w:r w:rsidR="00B15ACA">
        <w:t xml:space="preserve"> accommodating 1,3</w:t>
      </w:r>
      <w:r w:rsidR="00C67779">
        <w:t>0</w:t>
      </w:r>
      <w:r w:rsidR="00B15ACA">
        <w:t xml:space="preserve">1 people. </w:t>
      </w:r>
      <w:r w:rsidR="005F279C">
        <w:t>Since October 2023 (18 months)</w:t>
      </w:r>
      <w:r w:rsidR="002C7979">
        <w:t xml:space="preserve">, </w:t>
      </w:r>
      <w:r w:rsidR="005F279C">
        <w:t xml:space="preserve">six </w:t>
      </w:r>
      <w:r w:rsidR="00B80A4C">
        <w:t xml:space="preserve">services </w:t>
      </w:r>
      <w:r w:rsidR="002C7979">
        <w:t>were closed reducing the total number of people that could be accommodated by 1</w:t>
      </w:r>
      <w:r w:rsidR="00BB37FF">
        <w:t>62</w:t>
      </w:r>
      <w:r w:rsidR="002C7979">
        <w:t xml:space="preserve"> (</w:t>
      </w:r>
      <w:r w:rsidR="00A21D08">
        <w:t>1</w:t>
      </w:r>
      <w:r w:rsidR="00221EA6">
        <w:t>1</w:t>
      </w:r>
      <w:r w:rsidR="00154036">
        <w:t xml:space="preserve"> per cent</w:t>
      </w:r>
      <w:r w:rsidR="00A21D08">
        <w:t xml:space="preserve"> decrease).</w:t>
      </w:r>
      <w:r w:rsidR="002B7832">
        <w:t xml:space="preserve"> </w:t>
      </w:r>
    </w:p>
    <w:p w14:paraId="38C05781" w14:textId="4B53AF6B" w:rsidR="005B4602" w:rsidRDefault="004F378C" w:rsidP="002441BF">
      <w:pPr>
        <w:spacing w:after="120"/>
      </w:pPr>
      <w:r>
        <w:t>Since the</w:t>
      </w:r>
      <w:r w:rsidR="00034D78">
        <w:t xml:space="preserve"> April 2025 register update another </w:t>
      </w:r>
      <w:r w:rsidR="004C4741">
        <w:t xml:space="preserve">two </w:t>
      </w:r>
      <w:r w:rsidR="00034D78">
        <w:t>service</w:t>
      </w:r>
      <w:r w:rsidR="004C4741">
        <w:t>s</w:t>
      </w:r>
      <w:r w:rsidR="00034D78">
        <w:t xml:space="preserve"> accommodating up to </w:t>
      </w:r>
      <w:r w:rsidR="008748E3">
        <w:t>64</w:t>
      </w:r>
      <w:r w:rsidR="00034D78">
        <w:t xml:space="preserve"> </w:t>
      </w:r>
      <w:r w:rsidR="00097877">
        <w:t>residents has also closed.</w:t>
      </w:r>
      <w:r>
        <w:t xml:space="preserve"> </w:t>
      </w:r>
      <w:r w:rsidR="0063113D">
        <w:t>Other providers have indicated they may also close.</w:t>
      </w:r>
    </w:p>
    <w:p w14:paraId="32AFC9CD" w14:textId="57FB2597" w:rsidR="005B4602" w:rsidRDefault="00327835" w:rsidP="002441BF">
      <w:pPr>
        <w:spacing w:after="120"/>
      </w:pPr>
      <w:r>
        <w:t xml:space="preserve">Nearly half of current </w:t>
      </w:r>
      <w:r w:rsidR="00B80A4C">
        <w:t xml:space="preserve">services </w:t>
      </w:r>
      <w:r w:rsidR="002D069F">
        <w:t>(and available beds)</w:t>
      </w:r>
      <w:r>
        <w:t xml:space="preserve"> are located in the Brisbane City Council area,</w:t>
      </w:r>
      <w:r w:rsidR="003A1415">
        <w:t xml:space="preserve"> </w:t>
      </w:r>
      <w:r w:rsidR="00C546C6">
        <w:t xml:space="preserve">with </w:t>
      </w:r>
      <w:r w:rsidR="003A1415">
        <w:t xml:space="preserve">the remaining located </w:t>
      </w:r>
      <w:r w:rsidR="00C546C6">
        <w:t xml:space="preserve">across </w:t>
      </w:r>
      <w:r w:rsidR="00154036">
        <w:t>S</w:t>
      </w:r>
      <w:r w:rsidR="003A1415">
        <w:t xml:space="preserve">outh </w:t>
      </w:r>
      <w:r w:rsidR="00154036">
        <w:t>E</w:t>
      </w:r>
      <w:r w:rsidR="003A1415">
        <w:t>ast Queensland (except two located in Townsville).</w:t>
      </w:r>
    </w:p>
    <w:p w14:paraId="6B9AABC2" w14:textId="44D8D0BE" w:rsidR="0072090C" w:rsidRDefault="00F559FC" w:rsidP="00F91060">
      <w:pPr>
        <w:spacing w:after="120"/>
      </w:pPr>
      <w:r>
        <w:t>Supported accommodation represents about 17</w:t>
      </w:r>
      <w:r w:rsidR="00154036">
        <w:t xml:space="preserve"> per cent</w:t>
      </w:r>
      <w:r>
        <w:t xml:space="preserve"> of the total number of people accommodated in </w:t>
      </w:r>
      <w:r w:rsidR="005D77DA">
        <w:t>a residential service (Levels 1, 2 and 3 combined).</w:t>
      </w:r>
    </w:p>
    <w:p w14:paraId="68AAB124" w14:textId="56C1BD83" w:rsidR="00010087" w:rsidRDefault="002F0C0D" w:rsidP="00BD1B02">
      <w:pPr>
        <w:spacing w:after="120"/>
        <w:jc w:val="center"/>
      </w:pPr>
      <w:r>
        <w:rPr>
          <w:noProof/>
        </w:rPr>
        <w:drawing>
          <wp:inline distT="0" distB="0" distL="0" distR="0" wp14:anchorId="39BF33B9" wp14:editId="29D74F09">
            <wp:extent cx="4625340" cy="2323866"/>
            <wp:effectExtent l="0" t="0" r="3810" b="635"/>
            <wp:docPr id="1126709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1919" cy="2347268"/>
                    </a:xfrm>
                    <a:prstGeom prst="rect">
                      <a:avLst/>
                    </a:prstGeom>
                    <a:noFill/>
                  </pic:spPr>
                </pic:pic>
              </a:graphicData>
            </a:graphic>
          </wp:inline>
        </w:drawing>
      </w:r>
    </w:p>
    <w:p w14:paraId="29A05ABB" w14:textId="4710025A" w:rsidR="00083CD7" w:rsidRPr="00974591" w:rsidRDefault="00E129F5" w:rsidP="00974591">
      <w:pPr>
        <w:pStyle w:val="Heading1"/>
        <w:rPr>
          <w:b/>
          <w:bCs/>
        </w:rPr>
      </w:pPr>
      <w:r>
        <w:rPr>
          <w:b/>
          <w:bCs/>
        </w:rPr>
        <w:lastRenderedPageBreak/>
        <w:t>Analysing</w:t>
      </w:r>
      <w:r w:rsidR="00A96BCF">
        <w:rPr>
          <w:b/>
          <w:bCs/>
        </w:rPr>
        <w:t xml:space="preserve"> Supported Accommodation</w:t>
      </w:r>
    </w:p>
    <w:p w14:paraId="068E0256" w14:textId="49599564" w:rsidR="00384D11" w:rsidRPr="00384D11" w:rsidRDefault="007B554F" w:rsidP="00384D11">
      <w:pPr>
        <w:pStyle w:val="Heading1"/>
        <w:spacing w:before="120"/>
        <w:rPr>
          <w:b/>
          <w:bCs/>
          <w:sz w:val="28"/>
          <w:szCs w:val="28"/>
        </w:rPr>
      </w:pPr>
      <w:r>
        <w:rPr>
          <w:b/>
          <w:bCs/>
          <w:sz w:val="28"/>
          <w:szCs w:val="28"/>
        </w:rPr>
        <w:t xml:space="preserve">Key </w:t>
      </w:r>
      <w:r w:rsidR="00384D11" w:rsidRPr="00384D11">
        <w:rPr>
          <w:b/>
          <w:bCs/>
          <w:sz w:val="28"/>
          <w:szCs w:val="28"/>
        </w:rPr>
        <w:t>Benefits of Supported Accommodation</w:t>
      </w:r>
    </w:p>
    <w:p w14:paraId="1AAB31F6" w14:textId="73650C19" w:rsidR="00A96BCF" w:rsidRDefault="008F3159" w:rsidP="0088639A">
      <w:pPr>
        <w:spacing w:after="120"/>
      </w:pPr>
      <w:r>
        <w:t xml:space="preserve">Supported accommodation </w:t>
      </w:r>
      <w:r w:rsidR="00250081">
        <w:t xml:space="preserve">is providing a critical service to people who </w:t>
      </w:r>
      <w:r w:rsidR="00E91487">
        <w:t xml:space="preserve">would often not be </w:t>
      </w:r>
      <w:r w:rsidR="00250081">
        <w:t xml:space="preserve">able to secure </w:t>
      </w:r>
      <w:r w:rsidR="00B80A4C">
        <w:t>accommodation</w:t>
      </w:r>
      <w:r w:rsidR="00E91487">
        <w:t xml:space="preserve"> in the private rental market</w:t>
      </w:r>
      <w:r w:rsidR="00B80A4C">
        <w:t xml:space="preserve">. </w:t>
      </w:r>
      <w:r w:rsidR="00E91487">
        <w:t xml:space="preserve">Many residents </w:t>
      </w:r>
      <w:r w:rsidR="00DA3572">
        <w:t>would also find it difficult to maintain their own home in social or community housing.</w:t>
      </w:r>
    </w:p>
    <w:p w14:paraId="1DEB42C6" w14:textId="45FABCE6" w:rsidR="00250081" w:rsidRDefault="00E85E0B" w:rsidP="0088639A">
      <w:pPr>
        <w:spacing w:after="120"/>
      </w:pPr>
      <w:r>
        <w:t xml:space="preserve">Supported accommodation is often </w:t>
      </w:r>
      <w:r w:rsidR="006D7B08">
        <w:t xml:space="preserve">the only </w:t>
      </w:r>
      <w:r>
        <w:t xml:space="preserve">accommodation </w:t>
      </w:r>
      <w:r w:rsidR="006D7B08">
        <w:t xml:space="preserve">option for people </w:t>
      </w:r>
      <w:r>
        <w:t xml:space="preserve">upon </w:t>
      </w:r>
      <w:r w:rsidR="006D7B08">
        <w:t xml:space="preserve">discharge from </w:t>
      </w:r>
      <w:r w:rsidR="008C7DC8">
        <w:t xml:space="preserve">hospital or other health facility </w:t>
      </w:r>
      <w:r w:rsidR="00FF7365">
        <w:t xml:space="preserve">(including mental health and </w:t>
      </w:r>
      <w:r w:rsidR="00D51CD8">
        <w:t>alcohol and other drug (</w:t>
      </w:r>
      <w:r w:rsidR="00FF7365">
        <w:t>AOD</w:t>
      </w:r>
      <w:r w:rsidR="00D51CD8">
        <w:t>) services</w:t>
      </w:r>
      <w:r w:rsidR="00FF7365">
        <w:t xml:space="preserve">) </w:t>
      </w:r>
      <w:r w:rsidR="008C7DC8">
        <w:t>or correctional institution.</w:t>
      </w:r>
      <w:r w:rsidR="00DB7285">
        <w:t xml:space="preserve"> </w:t>
      </w:r>
      <w:r w:rsidR="00F535CE">
        <w:t xml:space="preserve">If </w:t>
      </w:r>
      <w:r w:rsidR="00DB7285">
        <w:t xml:space="preserve">supported accommodation </w:t>
      </w:r>
      <w:r w:rsidR="00F535CE">
        <w:t xml:space="preserve">was </w:t>
      </w:r>
      <w:r w:rsidR="00DB7285">
        <w:t xml:space="preserve">not available, </w:t>
      </w:r>
      <w:r w:rsidR="004974D0">
        <w:t>people would either not be able to be discharged (preventing the admission of new people into hospitals and health facilities) or would become homeless.</w:t>
      </w:r>
    </w:p>
    <w:p w14:paraId="4CB69E3F" w14:textId="77777777" w:rsidR="00551103" w:rsidRDefault="00551103" w:rsidP="0088639A">
      <w:pPr>
        <w:spacing w:after="120"/>
      </w:pPr>
    </w:p>
    <w:p w14:paraId="570513CD" w14:textId="78D592C9" w:rsidR="005C041B" w:rsidRDefault="005C041B" w:rsidP="005C041B">
      <w:pPr>
        <w:spacing w:after="120"/>
        <w:jc w:val="center"/>
      </w:pPr>
      <w:r w:rsidRPr="00446A70">
        <w:rPr>
          <w:noProof/>
        </w:rPr>
        <w:drawing>
          <wp:inline distT="0" distB="0" distL="0" distR="0" wp14:anchorId="346D17C4" wp14:editId="0DCA2B02">
            <wp:extent cx="6165966" cy="4732020"/>
            <wp:effectExtent l="0" t="0" r="6350" b="0"/>
            <wp:docPr id="954703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03404" name=""/>
                    <pic:cNvPicPr/>
                  </pic:nvPicPr>
                  <pic:blipFill>
                    <a:blip r:embed="rId13"/>
                    <a:stretch>
                      <a:fillRect/>
                    </a:stretch>
                  </pic:blipFill>
                  <pic:spPr>
                    <a:xfrm>
                      <a:off x="0" y="0"/>
                      <a:ext cx="6192627" cy="4752480"/>
                    </a:xfrm>
                    <a:prstGeom prst="rect">
                      <a:avLst/>
                    </a:prstGeom>
                  </pic:spPr>
                </pic:pic>
              </a:graphicData>
            </a:graphic>
          </wp:inline>
        </w:drawing>
      </w:r>
    </w:p>
    <w:p w14:paraId="2FA1F420" w14:textId="77777777" w:rsidR="00551103" w:rsidRDefault="00551103" w:rsidP="005C041B">
      <w:pPr>
        <w:spacing w:after="120"/>
        <w:jc w:val="center"/>
      </w:pPr>
    </w:p>
    <w:p w14:paraId="3103F166" w14:textId="0E5E6994" w:rsidR="00C74E58" w:rsidRDefault="00C74E58" w:rsidP="0088639A">
      <w:pPr>
        <w:spacing w:after="120"/>
      </w:pPr>
      <w:r>
        <w:t>Supported accommodation providers help manage medical and health issues, including the management of medications</w:t>
      </w:r>
      <w:r w:rsidR="00DB4652">
        <w:t xml:space="preserve"> and organising health service to visit residents at the facility</w:t>
      </w:r>
      <w:r w:rsidR="009F2B8C">
        <w:t xml:space="preserve">. </w:t>
      </w:r>
      <w:r w:rsidR="00150BA9">
        <w:t>Most p</w:t>
      </w:r>
      <w:r w:rsidR="009F2B8C">
        <w:t>roviders have regular arrangements with GPs, podiatrists and other allied health professionals to visit facilities</w:t>
      </w:r>
      <w:r w:rsidR="001C389E">
        <w:t>. External providers also schedule blood testing</w:t>
      </w:r>
      <w:r w:rsidR="00B361A4">
        <w:t xml:space="preserve"> at facilities. </w:t>
      </w:r>
    </w:p>
    <w:p w14:paraId="1341F635" w14:textId="1AEEAFAC" w:rsidR="00150BA9" w:rsidRDefault="00150BA9" w:rsidP="0088639A">
      <w:pPr>
        <w:spacing w:after="120"/>
      </w:pPr>
      <w:r>
        <w:lastRenderedPageBreak/>
        <w:t>Other services benefit from simpler, centralised access to their clients</w:t>
      </w:r>
      <w:r w:rsidR="00B54D76">
        <w:t>, such as t</w:t>
      </w:r>
      <w:r>
        <w:t>he Public Guardian</w:t>
      </w:r>
      <w:r w:rsidR="003577BE">
        <w:t xml:space="preserve"> and Public Trustee</w:t>
      </w:r>
      <w:r w:rsidR="00B54D76">
        <w:t>, and NDIS supports coordinators.</w:t>
      </w:r>
    </w:p>
    <w:p w14:paraId="51D62A42" w14:textId="1F2A4185" w:rsidR="00A22860" w:rsidRDefault="00F25788" w:rsidP="00A22860">
      <w:pPr>
        <w:spacing w:after="120"/>
      </w:pPr>
      <w:r>
        <w:t>Supported accommodation providers</w:t>
      </w:r>
      <w:r w:rsidR="00877A40">
        <w:t xml:space="preserve"> help enable successful support of </w:t>
      </w:r>
      <w:r w:rsidR="00C67720">
        <w:t xml:space="preserve">residents, including through visiting services and organising of outside appointments, </w:t>
      </w:r>
      <w:r w:rsidR="00845032">
        <w:t xml:space="preserve">supporting residents to manage their emotions, anxieties and behaviours, </w:t>
      </w:r>
      <w:r w:rsidR="006B64A8">
        <w:t xml:space="preserve">assisting with money management (in conjunction with the Public Trustee or financial guardian) </w:t>
      </w:r>
      <w:r w:rsidR="00845032">
        <w:t xml:space="preserve">and </w:t>
      </w:r>
      <w:r w:rsidR="00C67720">
        <w:t>by establish</w:t>
      </w:r>
      <w:r w:rsidR="00EA1719">
        <w:t>ing</w:t>
      </w:r>
      <w:r w:rsidR="00C67720">
        <w:t xml:space="preserve"> and instilling routines for </w:t>
      </w:r>
      <w:r w:rsidR="00A22860">
        <w:t>residents. These routines also enable more effective service visits from NDIS and aged care providers</w:t>
      </w:r>
      <w:r w:rsidR="007E4C38">
        <w:t>.</w:t>
      </w:r>
    </w:p>
    <w:p w14:paraId="35FC1E69" w14:textId="3F412F8F" w:rsidR="006E376E" w:rsidRDefault="001363EB" w:rsidP="0088639A">
      <w:pPr>
        <w:spacing w:after="120"/>
      </w:pPr>
      <w:r>
        <w:t xml:space="preserve">Another key benefit of supported accommodation is that it provides a </w:t>
      </w:r>
      <w:r w:rsidR="00154036">
        <w:t>longer-term</w:t>
      </w:r>
      <w:r>
        <w:t xml:space="preserve"> accommodation option for residents. Consistent with the successful Housing First approach, </w:t>
      </w:r>
      <w:r w:rsidR="004841A8">
        <w:t>residents are not forced to leave after a particular length of time</w:t>
      </w:r>
      <w:r w:rsidR="00C756D0">
        <w:t xml:space="preserve"> or when goals are achieved.</w:t>
      </w:r>
    </w:p>
    <w:p w14:paraId="674C1197" w14:textId="77777777" w:rsidR="00154036" w:rsidRDefault="00154036" w:rsidP="0088639A">
      <w:pPr>
        <w:spacing w:after="120"/>
      </w:pPr>
    </w:p>
    <w:p w14:paraId="65B8FA16" w14:textId="19C70FCF" w:rsidR="00BC0299" w:rsidRPr="00384D11" w:rsidRDefault="00C10732" w:rsidP="00BC0299">
      <w:pPr>
        <w:pStyle w:val="Heading1"/>
        <w:spacing w:before="120"/>
        <w:rPr>
          <w:b/>
          <w:bCs/>
          <w:sz w:val="28"/>
          <w:szCs w:val="28"/>
        </w:rPr>
      </w:pPr>
      <w:r>
        <w:rPr>
          <w:b/>
          <w:bCs/>
          <w:sz w:val="28"/>
          <w:szCs w:val="28"/>
        </w:rPr>
        <w:t xml:space="preserve">Key </w:t>
      </w:r>
      <w:r w:rsidR="00BC0299">
        <w:rPr>
          <w:b/>
          <w:bCs/>
          <w:sz w:val="28"/>
          <w:szCs w:val="28"/>
        </w:rPr>
        <w:t xml:space="preserve">Challenges </w:t>
      </w:r>
      <w:r w:rsidR="00BC0299" w:rsidRPr="00384D11">
        <w:rPr>
          <w:b/>
          <w:bCs/>
          <w:sz w:val="28"/>
          <w:szCs w:val="28"/>
        </w:rPr>
        <w:t>of Supported Accommodation</w:t>
      </w:r>
    </w:p>
    <w:p w14:paraId="68930F38" w14:textId="4ECC9581" w:rsidR="00C00B15" w:rsidRDefault="00C00B15" w:rsidP="008A2369">
      <w:pPr>
        <w:spacing w:after="120"/>
      </w:pPr>
      <w:r w:rsidRPr="001D114E">
        <w:t>The key challenge</w:t>
      </w:r>
      <w:r w:rsidR="00BC3095" w:rsidRPr="001D114E">
        <w:t>s</w:t>
      </w:r>
      <w:r w:rsidRPr="001D114E">
        <w:t xml:space="preserve"> for supported accommodation </w:t>
      </w:r>
      <w:r w:rsidR="00BC3095" w:rsidRPr="001D114E">
        <w:t>relate to the</w:t>
      </w:r>
      <w:r w:rsidRPr="001D114E">
        <w:t xml:space="preserve"> successful manag</w:t>
      </w:r>
      <w:r w:rsidR="00BC3095" w:rsidRPr="001D114E">
        <w:t>ement of</w:t>
      </w:r>
      <w:r w:rsidRPr="001D114E">
        <w:t xml:space="preserve"> a </w:t>
      </w:r>
      <w:r w:rsidR="00501593" w:rsidRPr="001D114E">
        <w:t>vulnerable and complex cohort of residents.</w:t>
      </w:r>
      <w:r w:rsidR="00BC3095" w:rsidRPr="001D114E">
        <w:t xml:space="preserve"> This is in addition to the ongoing viability of </w:t>
      </w:r>
      <w:r w:rsidR="003775D1" w:rsidRPr="001D114E">
        <w:t>the supported accommodation model (</w:t>
      </w:r>
      <w:r w:rsidR="00EE3D08" w:rsidRPr="001D114E">
        <w:t xml:space="preserve">see </w:t>
      </w:r>
      <w:r w:rsidR="005E6767" w:rsidRPr="001D114E">
        <w:t xml:space="preserve">summary in ‘Operators of Supported Accommodation’ </w:t>
      </w:r>
      <w:r w:rsidR="00EE3D08" w:rsidRPr="001D114E">
        <w:t>above).</w:t>
      </w:r>
    </w:p>
    <w:p w14:paraId="33C7762F" w14:textId="4BA165C3" w:rsidR="000A2F4E" w:rsidRDefault="00D62AEA" w:rsidP="005E6767">
      <w:pPr>
        <w:spacing w:after="120"/>
      </w:pPr>
      <w:r>
        <w:t xml:space="preserve">As expected </w:t>
      </w:r>
      <w:r w:rsidR="00A1264B">
        <w:t>with</w:t>
      </w:r>
      <w:r>
        <w:t xml:space="preserve"> people who have a history of trauma</w:t>
      </w:r>
      <w:r w:rsidR="00B05A67">
        <w:t>,</w:t>
      </w:r>
      <w:r w:rsidR="002A472E">
        <w:t xml:space="preserve"> a range of mental health, psychosocial and chronic health issues</w:t>
      </w:r>
      <w:r w:rsidR="00B05A67">
        <w:t xml:space="preserve"> and intellectual impairment, it is difficult to support them </w:t>
      </w:r>
      <w:r w:rsidR="0067103B">
        <w:t xml:space="preserve">within a facility without regular, specialised services. </w:t>
      </w:r>
      <w:r w:rsidR="00801654">
        <w:t xml:space="preserve">In addition, </w:t>
      </w:r>
      <w:r w:rsidR="00A1264B">
        <w:t xml:space="preserve">many </w:t>
      </w:r>
      <w:r w:rsidR="008B0AEF">
        <w:t>resident</w:t>
      </w:r>
      <w:r w:rsidR="00801654">
        <w:t xml:space="preserve">s </w:t>
      </w:r>
      <w:r w:rsidR="000A2F4E">
        <w:t xml:space="preserve">have </w:t>
      </w:r>
      <w:r w:rsidR="006D2B37">
        <w:t xml:space="preserve">encountered abuse </w:t>
      </w:r>
      <w:r w:rsidR="00A1264B">
        <w:t xml:space="preserve">by the systems that are supposed to care for them </w:t>
      </w:r>
      <w:r w:rsidR="006D2B37">
        <w:t xml:space="preserve">and </w:t>
      </w:r>
      <w:r w:rsidR="00A1264B">
        <w:t xml:space="preserve">have become </w:t>
      </w:r>
      <w:r w:rsidR="006D2B37">
        <w:t>untrusting of government</w:t>
      </w:r>
      <w:r w:rsidR="00DF18FE">
        <w:t xml:space="preserve"> and</w:t>
      </w:r>
      <w:r w:rsidR="006D2B37">
        <w:t xml:space="preserve"> organisations</w:t>
      </w:r>
      <w:r w:rsidR="00EE41E7">
        <w:t>.</w:t>
      </w:r>
    </w:p>
    <w:p w14:paraId="385AEA7C" w14:textId="77777777" w:rsidR="00D97DB7" w:rsidRDefault="00D97DB7" w:rsidP="005E6767">
      <w:pPr>
        <w:spacing w:after="120"/>
      </w:pPr>
      <w:r>
        <w:t>The Public Advocate’s 2023 ‘</w:t>
      </w:r>
      <w:r w:rsidRPr="00BB6A24">
        <w:rPr>
          <w:i/>
          <w:iCs/>
        </w:rPr>
        <w:t>Safe, secure and affordable</w:t>
      </w:r>
      <w:r>
        <w:t>’ report noted “</w:t>
      </w:r>
      <w:r w:rsidRPr="006E0E66">
        <w:t xml:space="preserve">stakeholders suggested that more specialised services are required to better meet the complex needs of many of the current residents of </w:t>
      </w:r>
      <w:r>
        <w:t>supported accommodation</w:t>
      </w:r>
      <w:r w:rsidRPr="006E0E66">
        <w:t>. This could include, for example, specific services to address the needs of people with disability, or people who require aged care or mental health services, or people exiting the prison system.</w:t>
      </w:r>
      <w:r>
        <w:t>”</w:t>
      </w:r>
    </w:p>
    <w:p w14:paraId="4E02056D" w14:textId="4452E4E4" w:rsidR="00801654" w:rsidRDefault="00801654" w:rsidP="005E6767">
      <w:pPr>
        <w:spacing w:after="120"/>
      </w:pPr>
      <w:r>
        <w:t xml:space="preserve">Upon </w:t>
      </w:r>
      <w:r w:rsidR="005B2D8E">
        <w:t>entering a facility, it is difficult to understand the resident’s full scope of needs and issues</w:t>
      </w:r>
      <w:r w:rsidR="00D84D43">
        <w:t xml:space="preserve"> – and with limited services, these needs and issues take a long time to become understood. </w:t>
      </w:r>
      <w:r w:rsidR="005C7583">
        <w:t xml:space="preserve">Without this understanding, it is extremely difficult to </w:t>
      </w:r>
      <w:r w:rsidR="00360F29">
        <w:t xml:space="preserve">prevent escalation of behaviours and decline in </w:t>
      </w:r>
      <w:r w:rsidR="00807C83">
        <w:t>health and wellbeing.</w:t>
      </w:r>
    </w:p>
    <w:p w14:paraId="0CE97972" w14:textId="77777777" w:rsidR="00D97DB7" w:rsidRDefault="00D97DB7" w:rsidP="009E3F07">
      <w:pPr>
        <w:spacing w:after="240"/>
      </w:pPr>
      <w:r>
        <w:t>The</w:t>
      </w:r>
      <w:r w:rsidRPr="00835770">
        <w:t xml:space="preserve"> </w:t>
      </w:r>
      <w:r>
        <w:t xml:space="preserve">results of the </w:t>
      </w:r>
      <w:r w:rsidRPr="00835770">
        <w:t>SAPA Resident Needs Screening Tool</w:t>
      </w:r>
      <w:r>
        <w:t xml:space="preserve"> found that there are significant unmet needs for residents of supported accommodation. There are significant gaps in daily living assistance and health and wellbeing support.</w:t>
      </w:r>
    </w:p>
    <w:p w14:paraId="476C6AFB" w14:textId="5497E453" w:rsidR="00AC5661" w:rsidRDefault="009669C7" w:rsidP="00D12CE3">
      <w:pPr>
        <w:spacing w:after="240"/>
      </w:pPr>
      <w:r w:rsidRPr="00A128C1">
        <w:rPr>
          <w:noProof/>
        </w:rPr>
        <w:drawing>
          <wp:inline distT="0" distB="0" distL="0" distR="0" wp14:anchorId="5196B89D" wp14:editId="2E8887CE">
            <wp:extent cx="3011573" cy="1796400"/>
            <wp:effectExtent l="0" t="0" r="0" b="0"/>
            <wp:docPr id="14118276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1573" cy="1796400"/>
                    </a:xfrm>
                    <a:prstGeom prst="rect">
                      <a:avLst/>
                    </a:prstGeom>
                    <a:noFill/>
                    <a:ln>
                      <a:noFill/>
                    </a:ln>
                  </pic:spPr>
                </pic:pic>
              </a:graphicData>
            </a:graphic>
          </wp:inline>
        </w:drawing>
      </w:r>
      <w:r w:rsidR="00C104AD">
        <w:t xml:space="preserve"> </w:t>
      </w:r>
      <w:r w:rsidR="00C104AD" w:rsidRPr="00526FE7">
        <w:rPr>
          <w:noProof/>
        </w:rPr>
        <w:drawing>
          <wp:inline distT="0" distB="0" distL="0" distR="0" wp14:anchorId="621F263B" wp14:editId="60AE3B7B">
            <wp:extent cx="3006437" cy="1794669"/>
            <wp:effectExtent l="0" t="0" r="3810" b="0"/>
            <wp:docPr id="16736602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6437" cy="1794669"/>
                    </a:xfrm>
                    <a:prstGeom prst="rect">
                      <a:avLst/>
                    </a:prstGeom>
                    <a:noFill/>
                    <a:ln>
                      <a:noFill/>
                    </a:ln>
                  </pic:spPr>
                </pic:pic>
              </a:graphicData>
            </a:graphic>
          </wp:inline>
        </w:drawing>
      </w:r>
    </w:p>
    <w:p w14:paraId="55CA7BA6" w14:textId="261CB0BC" w:rsidR="00D97DB7" w:rsidRDefault="00D97DB7" w:rsidP="005E6767">
      <w:pPr>
        <w:spacing w:after="120"/>
      </w:pPr>
      <w:r>
        <w:lastRenderedPageBreak/>
        <w:t>As well as managing existing issues,</w:t>
      </w:r>
      <w:r w:rsidR="001623FF">
        <w:t xml:space="preserve"> a resident will experience new </w:t>
      </w:r>
      <w:r>
        <w:t>issues throughout the</w:t>
      </w:r>
      <w:r w:rsidR="001623FF">
        <w:t xml:space="preserve">ir life which </w:t>
      </w:r>
      <w:r>
        <w:t xml:space="preserve">also need to be managed, such as wound management and post-operative/hospital care. </w:t>
      </w:r>
    </w:p>
    <w:p w14:paraId="53F67641" w14:textId="77777777" w:rsidR="00D97DB7" w:rsidRDefault="00D97DB7" w:rsidP="005E6767">
      <w:pPr>
        <w:spacing w:after="120"/>
      </w:pPr>
      <w:r>
        <w:t>Medication management is the highest risk activity of supported accommodation and presents the greatest challenge. The various health systems place responsibility for medication management on the provider, but this is also the most difficult issue to manage, especially for dysregulated residents or residents with low levels of trust with other people.</w:t>
      </w:r>
    </w:p>
    <w:p w14:paraId="31238B7C" w14:textId="7CC7AF21" w:rsidR="00D97DB7" w:rsidRDefault="00D97DB7" w:rsidP="005E6767">
      <w:pPr>
        <w:spacing w:after="120"/>
      </w:pPr>
      <w:r>
        <w:t xml:space="preserve">Within the current environment, providers face challenges in </w:t>
      </w:r>
      <w:r w:rsidR="001B1777">
        <w:t>assisting</w:t>
      </w:r>
      <w:r>
        <w:t xml:space="preserve"> residents to attend appointments, participate in community activities and do their own shopping. There is no capacity for providers to help residents apply for external supports via the NDIS and My Aged Care. The inability to attend appointments mean that residents are not </w:t>
      </w:r>
      <w:r w:rsidRPr="00E16BB0">
        <w:t xml:space="preserve">undertaking </w:t>
      </w:r>
      <w:r>
        <w:t>important activities such as preventative health and dental care.</w:t>
      </w:r>
    </w:p>
    <w:p w14:paraId="3BAACECB" w14:textId="2EA051B3" w:rsidR="00D97DB7" w:rsidRDefault="00D97DB7" w:rsidP="005E6767">
      <w:pPr>
        <w:spacing w:after="120"/>
      </w:pPr>
      <w:r>
        <w:t xml:space="preserve">While some residents have funded NDIS and Aged Care packages, these services are only provided at set times and for a limited number of instances per week. For residents with needs beyond that offered by these systems, </w:t>
      </w:r>
      <w:r w:rsidR="00BF20D0">
        <w:t xml:space="preserve">it falls back on </w:t>
      </w:r>
      <w:r>
        <w:t xml:space="preserve">the supported accommodation provider </w:t>
      </w:r>
      <w:r w:rsidR="00BF20D0">
        <w:t xml:space="preserve">to </w:t>
      </w:r>
      <w:r>
        <w:t>assume</w:t>
      </w:r>
      <w:r w:rsidR="00BF20D0">
        <w:t xml:space="preserve"> this </w:t>
      </w:r>
      <w:r>
        <w:t>responsibility.</w:t>
      </w:r>
    </w:p>
    <w:p w14:paraId="22CC04CF" w14:textId="77777777" w:rsidR="00D97DB7" w:rsidRDefault="00D97DB7" w:rsidP="005E6767">
      <w:pPr>
        <w:spacing w:after="120"/>
      </w:pPr>
      <w:r>
        <w:t xml:space="preserve">These pressures and the complexity of residents also mean that </w:t>
      </w:r>
      <w:r w:rsidRPr="00C95CC6">
        <w:t xml:space="preserve">the level of personal care </w:t>
      </w:r>
      <w:r>
        <w:t xml:space="preserve">expected to be </w:t>
      </w:r>
      <w:r w:rsidRPr="00C95CC6">
        <w:t xml:space="preserve">provided </w:t>
      </w:r>
      <w:r>
        <w:t xml:space="preserve">in supported accommodation will not </w:t>
      </w:r>
      <w:r w:rsidRPr="00C95CC6">
        <w:t xml:space="preserve">meet </w:t>
      </w:r>
      <w:r>
        <w:t xml:space="preserve">all </w:t>
      </w:r>
      <w:r w:rsidRPr="00C95CC6">
        <w:t xml:space="preserve">the needs of many of the </w:t>
      </w:r>
      <w:r>
        <w:t xml:space="preserve">residents, particularly those </w:t>
      </w:r>
      <w:r w:rsidRPr="00C95CC6">
        <w:t xml:space="preserve">who </w:t>
      </w:r>
      <w:r>
        <w:t xml:space="preserve">with </w:t>
      </w:r>
      <w:r w:rsidRPr="00C95CC6">
        <w:t xml:space="preserve">complex needs </w:t>
      </w:r>
      <w:r>
        <w:t>(</w:t>
      </w:r>
      <w:r w:rsidRPr="00C95CC6">
        <w:t>disability, mental health</w:t>
      </w:r>
      <w:r>
        <w:t xml:space="preserve"> challenges</w:t>
      </w:r>
      <w:r w:rsidRPr="00C95CC6">
        <w:t xml:space="preserve">, or </w:t>
      </w:r>
      <w:r>
        <w:t xml:space="preserve">alcohol and other </w:t>
      </w:r>
      <w:r w:rsidRPr="00C95CC6">
        <w:t xml:space="preserve">drug </w:t>
      </w:r>
      <w:r>
        <w:t>mis</w:t>
      </w:r>
      <w:r w:rsidRPr="00C95CC6">
        <w:t>use</w:t>
      </w:r>
      <w:r>
        <w:t>)</w:t>
      </w:r>
      <w:r w:rsidRPr="00C95CC6">
        <w:t xml:space="preserve">. </w:t>
      </w:r>
    </w:p>
    <w:p w14:paraId="6C236852" w14:textId="73B1A2E2" w:rsidR="00015101" w:rsidRDefault="00015101" w:rsidP="005E6767">
      <w:pPr>
        <w:spacing w:after="120"/>
      </w:pPr>
      <w:r>
        <w:t>The various and cumulative challenges for supported accommodation providers mean that workers can only react to crises – there is no capacity to proactively manage residents and coordinate services.</w:t>
      </w:r>
      <w:r w:rsidR="00455484">
        <w:t xml:space="preserve"> These crises also result in </w:t>
      </w:r>
      <w:r w:rsidR="003E28FF">
        <w:t xml:space="preserve">a government-funded </w:t>
      </w:r>
      <w:r w:rsidR="00B86551">
        <w:t xml:space="preserve">crisis or emergency response, including police, ambulance and mental health acute care teams. Residents also </w:t>
      </w:r>
      <w:r w:rsidR="006E199E">
        <w:t xml:space="preserve">often </w:t>
      </w:r>
      <w:r w:rsidR="008F0C31">
        <w:t xml:space="preserve">self-admit to </w:t>
      </w:r>
      <w:r w:rsidR="00B86551">
        <w:t>emergency departments.</w:t>
      </w:r>
    </w:p>
    <w:p w14:paraId="31680969" w14:textId="65EFF107" w:rsidR="00C3357B" w:rsidRPr="00762228" w:rsidRDefault="00762228" w:rsidP="00762228">
      <w:pPr>
        <w:pStyle w:val="Heading1"/>
        <w:spacing w:before="120"/>
        <w:rPr>
          <w:b/>
          <w:bCs/>
          <w:sz w:val="28"/>
          <w:szCs w:val="28"/>
        </w:rPr>
      </w:pPr>
      <w:r w:rsidRPr="00762228">
        <w:rPr>
          <w:b/>
          <w:bCs/>
          <w:sz w:val="28"/>
          <w:szCs w:val="28"/>
        </w:rPr>
        <w:t xml:space="preserve">Resident </w:t>
      </w:r>
      <w:r w:rsidR="00C3357B" w:rsidRPr="00762228">
        <w:rPr>
          <w:b/>
          <w:bCs/>
          <w:sz w:val="28"/>
          <w:szCs w:val="28"/>
        </w:rPr>
        <w:t xml:space="preserve">Incidents </w:t>
      </w:r>
    </w:p>
    <w:p w14:paraId="57E1A548" w14:textId="06FBC601" w:rsidR="00943F4D" w:rsidRDefault="00943F4D" w:rsidP="005E6767">
      <w:pPr>
        <w:spacing w:after="120"/>
      </w:pPr>
      <w:r>
        <w:t xml:space="preserve">Supported accommodation providers report high number of incidents within their facilities, mostly relating to </w:t>
      </w:r>
      <w:r w:rsidR="002E42FF">
        <w:t>dysregulated behaviours.  It should be noted, however, that accommodation models that have consistent, qualified support workers on site record much lower incident</w:t>
      </w:r>
      <w:r w:rsidR="00C5211A">
        <w:t xml:space="preserve"> rates</w:t>
      </w:r>
      <w:r w:rsidR="002E42FF">
        <w:t>.</w:t>
      </w:r>
    </w:p>
    <w:p w14:paraId="61A45D16" w14:textId="28025593" w:rsidR="00B2289E" w:rsidRDefault="00B57727" w:rsidP="005E6767">
      <w:pPr>
        <w:spacing w:after="120"/>
      </w:pPr>
      <w:r>
        <w:t xml:space="preserve">Across the sector, it is reported that </w:t>
      </w:r>
      <w:r w:rsidR="00B2289E" w:rsidRPr="00EF4DF1">
        <w:t>52.7</w:t>
      </w:r>
      <w:r w:rsidR="001D114E">
        <w:t xml:space="preserve"> per cent</w:t>
      </w:r>
      <w:r w:rsidR="00B2289E" w:rsidRPr="00EF4DF1">
        <w:t xml:space="preserve"> of residents</w:t>
      </w:r>
      <w:r w:rsidR="00B2289E">
        <w:t xml:space="preserve"> </w:t>
      </w:r>
      <w:r w:rsidR="00B2289E" w:rsidRPr="00EF4DF1">
        <w:t xml:space="preserve">experienced at least one incident report </w:t>
      </w:r>
      <w:r>
        <w:t xml:space="preserve">– and </w:t>
      </w:r>
      <w:r w:rsidR="00606573">
        <w:t xml:space="preserve">the average resident experiences </w:t>
      </w:r>
      <w:r w:rsidR="00B2289E" w:rsidRPr="00EF4DF1">
        <w:t xml:space="preserve">up to 20 </w:t>
      </w:r>
      <w:r>
        <w:t>incidents per year</w:t>
      </w:r>
      <w:r w:rsidR="00606573">
        <w:t xml:space="preserve">. Within just a </w:t>
      </w:r>
      <w:r w:rsidR="001D114E">
        <w:t>four-week</w:t>
      </w:r>
      <w:r w:rsidR="00606573">
        <w:t xml:space="preserve"> period</w:t>
      </w:r>
      <w:r w:rsidR="00B2289E" w:rsidRPr="00EF4DF1">
        <w:t>, 24.5</w:t>
      </w:r>
      <w:r w:rsidR="001D114E">
        <w:t xml:space="preserve"> per cent</w:t>
      </w:r>
      <w:r w:rsidR="00B2289E" w:rsidRPr="00EF4DF1">
        <w:t xml:space="preserve"> </w:t>
      </w:r>
      <w:r w:rsidR="00606573">
        <w:t xml:space="preserve">of residents had an </w:t>
      </w:r>
      <w:r w:rsidR="00B2289E" w:rsidRPr="00EF4DF1">
        <w:t>emergency/crisis</w:t>
      </w:r>
      <w:r w:rsidR="00B2289E">
        <w:t xml:space="preserve"> </w:t>
      </w:r>
      <w:r w:rsidR="00B2289E" w:rsidRPr="00EF4DF1">
        <w:t>contact</w:t>
      </w:r>
      <w:r w:rsidR="00D7270E">
        <w:t xml:space="preserve"> – the </w:t>
      </w:r>
      <w:r w:rsidR="00B2289E" w:rsidRPr="00EF4DF1">
        <w:t>average number of emergency/crisis contacts was 6.1</w:t>
      </w:r>
      <w:r w:rsidR="00B2289E">
        <w:t xml:space="preserve"> </w:t>
      </w:r>
      <w:r w:rsidR="00D7270E">
        <w:t xml:space="preserve">per person </w:t>
      </w:r>
      <w:r w:rsidR="00B2289E" w:rsidRPr="00EF4DF1">
        <w:t xml:space="preserve">involving 2.4 </w:t>
      </w:r>
      <w:r w:rsidR="00D7270E">
        <w:t xml:space="preserve">emergency/crisis </w:t>
      </w:r>
      <w:r w:rsidR="00B2289E" w:rsidRPr="00EF4DF1">
        <w:t>services.</w:t>
      </w:r>
    </w:p>
    <w:p w14:paraId="7993F9C4" w14:textId="45C83006" w:rsidR="00B2289E" w:rsidRPr="00B2289E" w:rsidRDefault="00F3054E" w:rsidP="00B2289E">
      <w:pPr>
        <w:pStyle w:val="Heading1"/>
        <w:jc w:val="center"/>
        <w:rPr>
          <w:b/>
          <w:bCs/>
          <w:i/>
          <w:iCs/>
          <w:color w:val="5CC3B0"/>
          <w:sz w:val="24"/>
          <w:szCs w:val="24"/>
        </w:rPr>
      </w:pPr>
      <w:r>
        <w:rPr>
          <w:b/>
          <w:bCs/>
          <w:i/>
          <w:iCs/>
          <w:color w:val="5CC3B0"/>
          <w:sz w:val="24"/>
          <w:szCs w:val="24"/>
        </w:rPr>
        <w:t>“</w:t>
      </w:r>
      <w:r w:rsidR="00B2289E" w:rsidRPr="00B2289E">
        <w:rPr>
          <w:b/>
          <w:bCs/>
          <w:i/>
          <w:iCs/>
          <w:color w:val="5CC3B0"/>
          <w:sz w:val="24"/>
          <w:szCs w:val="24"/>
        </w:rPr>
        <w:t>This highlights an urgent need for implementing proactive and integrated support strategies for preventative care to decrease the cycle of dependency of ER/crisis interventions.</w:t>
      </w:r>
      <w:r>
        <w:rPr>
          <w:b/>
          <w:bCs/>
          <w:i/>
          <w:iCs/>
          <w:color w:val="5CC3B0"/>
          <w:sz w:val="24"/>
          <w:szCs w:val="24"/>
        </w:rPr>
        <w:t>”</w:t>
      </w:r>
      <w:r w:rsidR="001C5F84">
        <w:rPr>
          <w:b/>
          <w:bCs/>
          <w:i/>
          <w:iCs/>
          <w:color w:val="5CC3B0"/>
          <w:sz w:val="24"/>
          <w:szCs w:val="24"/>
        </w:rPr>
        <w:t xml:space="preserve"> </w:t>
      </w:r>
      <w:r w:rsidRPr="00F3054E">
        <w:rPr>
          <w:b/>
          <w:bCs/>
          <w:i/>
          <w:iCs/>
          <w:color w:val="5CC3B0"/>
          <w:sz w:val="24"/>
          <w:szCs w:val="24"/>
        </w:rPr>
        <w:t>SAPA Resident Needs Screening Tool Final Report</w:t>
      </w:r>
    </w:p>
    <w:p w14:paraId="729913C2" w14:textId="1A69EB60" w:rsidR="00BC0299" w:rsidRDefault="009D2058" w:rsidP="005E6767">
      <w:pPr>
        <w:spacing w:before="120" w:after="120"/>
      </w:pPr>
      <w:r>
        <w:t xml:space="preserve">Limited data collected directly from providers </w:t>
      </w:r>
      <w:r w:rsidR="00E84425">
        <w:t>consulted on this project</w:t>
      </w:r>
      <w:r w:rsidR="00C46CAE">
        <w:t xml:space="preserve"> show high levels of incidents</w:t>
      </w:r>
      <w:r w:rsidR="002C2B50">
        <w:t xml:space="preserve"> amongst residents.</w:t>
      </w:r>
    </w:p>
    <w:tbl>
      <w:tblPr>
        <w:tblStyle w:val="GridTable1Light-Accent1"/>
        <w:tblW w:w="0" w:type="auto"/>
        <w:tblLook w:val="04A0" w:firstRow="1" w:lastRow="0" w:firstColumn="1" w:lastColumn="0" w:noHBand="0" w:noVBand="1"/>
      </w:tblPr>
      <w:tblGrid>
        <w:gridCol w:w="988"/>
        <w:gridCol w:w="2862"/>
        <w:gridCol w:w="1926"/>
        <w:gridCol w:w="1926"/>
        <w:gridCol w:w="1926"/>
      </w:tblGrid>
      <w:tr w:rsidR="00F9045B" w14:paraId="5F474EFC" w14:textId="77777777" w:rsidTr="005A0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E47D975" w14:textId="54A60DAB" w:rsidR="00F9045B" w:rsidRDefault="00F9045B" w:rsidP="004E608C">
            <w:pPr>
              <w:spacing w:after="120"/>
              <w:jc w:val="center"/>
            </w:pPr>
            <w:r>
              <w:t>Facility</w:t>
            </w:r>
          </w:p>
        </w:tc>
        <w:tc>
          <w:tcPr>
            <w:tcW w:w="2862" w:type="dxa"/>
          </w:tcPr>
          <w:p w14:paraId="056E3360" w14:textId="1FD09910" w:rsidR="00F9045B" w:rsidRDefault="00F9045B" w:rsidP="004E608C">
            <w:pPr>
              <w:spacing w:after="120"/>
              <w:jc w:val="center"/>
              <w:cnfStyle w:val="100000000000" w:firstRow="1" w:lastRow="0" w:firstColumn="0" w:lastColumn="0" w:oddVBand="0" w:evenVBand="0" w:oddHBand="0" w:evenHBand="0" w:firstRowFirstColumn="0" w:firstRowLastColumn="0" w:lastRowFirstColumn="0" w:lastRowLastColumn="0"/>
            </w:pPr>
            <w:r>
              <w:t>Support Level</w:t>
            </w:r>
          </w:p>
        </w:tc>
        <w:tc>
          <w:tcPr>
            <w:tcW w:w="1926" w:type="dxa"/>
          </w:tcPr>
          <w:p w14:paraId="6FB5A37E" w14:textId="1B110E9F" w:rsidR="00F9045B" w:rsidRDefault="00F9045B" w:rsidP="004E608C">
            <w:pPr>
              <w:spacing w:after="120"/>
              <w:jc w:val="center"/>
              <w:cnfStyle w:val="100000000000" w:firstRow="1" w:lastRow="0" w:firstColumn="0" w:lastColumn="0" w:oddVBand="0" w:evenVBand="0" w:oddHBand="0" w:evenHBand="0" w:firstRowFirstColumn="0" w:firstRowLastColumn="0" w:lastRowFirstColumn="0" w:lastRowLastColumn="0"/>
            </w:pPr>
            <w:r>
              <w:t>Resident Vulnerability</w:t>
            </w:r>
          </w:p>
        </w:tc>
        <w:tc>
          <w:tcPr>
            <w:tcW w:w="1926" w:type="dxa"/>
          </w:tcPr>
          <w:p w14:paraId="264E0CC4" w14:textId="07FC4E62" w:rsidR="00F9045B" w:rsidRDefault="00FC3AC1" w:rsidP="004E608C">
            <w:pPr>
              <w:spacing w:after="120"/>
              <w:jc w:val="center"/>
              <w:cnfStyle w:val="100000000000" w:firstRow="1" w:lastRow="0" w:firstColumn="0" w:lastColumn="0" w:oddVBand="0" w:evenVBand="0" w:oddHBand="0" w:evenHBand="0" w:firstRowFirstColumn="0" w:firstRowLastColumn="0" w:lastRowFirstColumn="0" w:lastRowLastColumn="0"/>
            </w:pPr>
            <w:r>
              <w:t xml:space="preserve">Incidents Per </w:t>
            </w:r>
            <w:r w:rsidR="004E608C">
              <w:br/>
            </w:r>
            <w:r>
              <w:t>Year</w:t>
            </w:r>
            <w:r w:rsidR="004E608C">
              <w:t xml:space="preserve"> (approx.)</w:t>
            </w:r>
          </w:p>
        </w:tc>
        <w:tc>
          <w:tcPr>
            <w:tcW w:w="1926" w:type="dxa"/>
          </w:tcPr>
          <w:p w14:paraId="1B4C7593" w14:textId="13996AD7" w:rsidR="00F9045B" w:rsidRDefault="00FC3AC1" w:rsidP="004E608C">
            <w:pPr>
              <w:spacing w:after="120"/>
              <w:jc w:val="center"/>
              <w:cnfStyle w:val="100000000000" w:firstRow="1" w:lastRow="0" w:firstColumn="0" w:lastColumn="0" w:oddVBand="0" w:evenVBand="0" w:oddHBand="0" w:evenHBand="0" w:firstRowFirstColumn="0" w:firstRowLastColumn="0" w:lastRowFirstColumn="0" w:lastRowLastColumn="0"/>
            </w:pPr>
            <w:r>
              <w:t>Seriousness</w:t>
            </w:r>
          </w:p>
        </w:tc>
      </w:tr>
      <w:tr w:rsidR="00F9045B" w14:paraId="5BFF189A" w14:textId="77777777" w:rsidTr="005A000D">
        <w:tc>
          <w:tcPr>
            <w:cnfStyle w:val="001000000000" w:firstRow="0" w:lastRow="0" w:firstColumn="1" w:lastColumn="0" w:oddVBand="0" w:evenVBand="0" w:oddHBand="0" w:evenHBand="0" w:firstRowFirstColumn="0" w:firstRowLastColumn="0" w:lastRowFirstColumn="0" w:lastRowLastColumn="0"/>
            <w:tcW w:w="988" w:type="dxa"/>
          </w:tcPr>
          <w:p w14:paraId="4DADF76E" w14:textId="7FA46363" w:rsidR="00F9045B" w:rsidRDefault="00FC3AC1" w:rsidP="004E608C">
            <w:pPr>
              <w:spacing w:after="120"/>
              <w:jc w:val="center"/>
            </w:pPr>
            <w:r>
              <w:t>1</w:t>
            </w:r>
          </w:p>
        </w:tc>
        <w:tc>
          <w:tcPr>
            <w:tcW w:w="2862" w:type="dxa"/>
          </w:tcPr>
          <w:p w14:paraId="25FA27A8" w14:textId="5EC65A56" w:rsidR="00F9045B" w:rsidRDefault="00FC3AC1" w:rsidP="004E608C">
            <w:pPr>
              <w:spacing w:after="120"/>
              <w:jc w:val="center"/>
              <w:cnfStyle w:val="000000000000" w:firstRow="0" w:lastRow="0" w:firstColumn="0" w:lastColumn="0" w:oddVBand="0" w:evenVBand="0" w:oddHBand="0" w:evenHBand="0" w:firstRowFirstColumn="0" w:firstRowLastColumn="0" w:lastRowFirstColumn="0" w:lastRowLastColumn="0"/>
            </w:pPr>
            <w:r>
              <w:t>Low-moderate</w:t>
            </w:r>
            <w:r w:rsidR="004F1511">
              <w:br/>
              <w:t>(staff on site, not qualified)</w:t>
            </w:r>
          </w:p>
        </w:tc>
        <w:tc>
          <w:tcPr>
            <w:tcW w:w="1926" w:type="dxa"/>
          </w:tcPr>
          <w:p w14:paraId="08D012B4" w14:textId="4F6C42AC" w:rsidR="00DA003B" w:rsidRDefault="00FC3AC1" w:rsidP="004E608C">
            <w:pPr>
              <w:spacing w:after="120"/>
              <w:jc w:val="center"/>
              <w:cnfStyle w:val="000000000000" w:firstRow="0" w:lastRow="0" w:firstColumn="0" w:lastColumn="0" w:oddVBand="0" w:evenVBand="0" w:oddHBand="0" w:evenHBand="0" w:firstRowFirstColumn="0" w:firstRowLastColumn="0" w:lastRowFirstColumn="0" w:lastRowLastColumn="0"/>
            </w:pPr>
            <w:r>
              <w:t>Medium-High</w:t>
            </w:r>
            <w:r w:rsidR="00DA003B">
              <w:br/>
              <w:t>(</w:t>
            </w:r>
            <w:r w:rsidR="00FC294B">
              <w:t xml:space="preserve">avg. </w:t>
            </w:r>
            <w:r w:rsidR="00DA003B">
              <w:t>3</w:t>
            </w:r>
            <w:r w:rsidR="00FC294B">
              <w:t>5</w:t>
            </w:r>
            <w:r w:rsidR="00DA003B">
              <w:t xml:space="preserve"> residents)</w:t>
            </w:r>
          </w:p>
        </w:tc>
        <w:tc>
          <w:tcPr>
            <w:tcW w:w="1926" w:type="dxa"/>
          </w:tcPr>
          <w:p w14:paraId="316A3F7C" w14:textId="09847FA8" w:rsidR="00F9045B" w:rsidRDefault="00293A9F" w:rsidP="004E608C">
            <w:pPr>
              <w:spacing w:after="120"/>
              <w:jc w:val="center"/>
              <w:cnfStyle w:val="000000000000" w:firstRow="0" w:lastRow="0" w:firstColumn="0" w:lastColumn="0" w:oddVBand="0" w:evenVBand="0" w:oddHBand="0" w:evenHBand="0" w:firstRowFirstColumn="0" w:firstRowLastColumn="0" w:lastRowFirstColumn="0" w:lastRowLastColumn="0"/>
            </w:pPr>
            <w:r>
              <w:t>850</w:t>
            </w:r>
            <w:r w:rsidR="00D663FA">
              <w:br/>
              <w:t>[24 per resident]</w:t>
            </w:r>
          </w:p>
        </w:tc>
        <w:tc>
          <w:tcPr>
            <w:tcW w:w="1926" w:type="dxa"/>
          </w:tcPr>
          <w:p w14:paraId="54124572" w14:textId="68519B56" w:rsidR="00293A9F" w:rsidRDefault="00293A9F" w:rsidP="004E608C">
            <w:pPr>
              <w:spacing w:after="120"/>
              <w:jc w:val="center"/>
              <w:cnfStyle w:val="000000000000" w:firstRow="0" w:lastRow="0" w:firstColumn="0" w:lastColumn="0" w:oddVBand="0" w:evenVBand="0" w:oddHBand="0" w:evenHBand="0" w:firstRowFirstColumn="0" w:firstRowLastColumn="0" w:lastRowFirstColumn="0" w:lastRowLastColumn="0"/>
            </w:pPr>
            <w:r>
              <w:t>High = 5</w:t>
            </w:r>
            <w:r w:rsidR="001D114E">
              <w:t>%</w:t>
            </w:r>
            <w:r w:rsidR="00DA003B">
              <w:br/>
            </w:r>
            <w:r>
              <w:t>Medium = 9</w:t>
            </w:r>
            <w:r w:rsidR="001D114E">
              <w:t>%</w:t>
            </w:r>
          </w:p>
        </w:tc>
      </w:tr>
      <w:tr w:rsidR="00F9045B" w14:paraId="070BD0DF" w14:textId="77777777" w:rsidTr="005A000D">
        <w:tc>
          <w:tcPr>
            <w:cnfStyle w:val="001000000000" w:firstRow="0" w:lastRow="0" w:firstColumn="1" w:lastColumn="0" w:oddVBand="0" w:evenVBand="0" w:oddHBand="0" w:evenHBand="0" w:firstRowFirstColumn="0" w:firstRowLastColumn="0" w:lastRowFirstColumn="0" w:lastRowLastColumn="0"/>
            <w:tcW w:w="988" w:type="dxa"/>
          </w:tcPr>
          <w:p w14:paraId="645FC541" w14:textId="5558E03D" w:rsidR="00F9045B" w:rsidRDefault="00293A9F" w:rsidP="004E608C">
            <w:pPr>
              <w:spacing w:after="120"/>
              <w:jc w:val="center"/>
            </w:pPr>
            <w:r>
              <w:t>2</w:t>
            </w:r>
          </w:p>
        </w:tc>
        <w:tc>
          <w:tcPr>
            <w:tcW w:w="2862" w:type="dxa"/>
          </w:tcPr>
          <w:p w14:paraId="491F2B60" w14:textId="10888146" w:rsidR="00F9045B" w:rsidRDefault="00293A9F" w:rsidP="004E608C">
            <w:pPr>
              <w:spacing w:after="120"/>
              <w:jc w:val="center"/>
              <w:cnfStyle w:val="000000000000" w:firstRow="0" w:lastRow="0" w:firstColumn="0" w:lastColumn="0" w:oddVBand="0" w:evenVBand="0" w:oddHBand="0" w:evenHBand="0" w:firstRowFirstColumn="0" w:firstRowLastColumn="0" w:lastRowFirstColumn="0" w:lastRowLastColumn="0"/>
            </w:pPr>
            <w:r>
              <w:t>Low-moderate</w:t>
            </w:r>
            <w:r w:rsidR="004F1511">
              <w:br/>
              <w:t>(staff on site, some qualified)</w:t>
            </w:r>
          </w:p>
        </w:tc>
        <w:tc>
          <w:tcPr>
            <w:tcW w:w="1926" w:type="dxa"/>
          </w:tcPr>
          <w:p w14:paraId="4BCFD6C5" w14:textId="6D09E0D0" w:rsidR="00DA003B" w:rsidRDefault="00403080" w:rsidP="004E608C">
            <w:pPr>
              <w:spacing w:after="120"/>
              <w:jc w:val="center"/>
              <w:cnfStyle w:val="000000000000" w:firstRow="0" w:lastRow="0" w:firstColumn="0" w:lastColumn="0" w:oddVBand="0" w:evenVBand="0" w:oddHBand="0" w:evenHBand="0" w:firstRowFirstColumn="0" w:firstRowLastColumn="0" w:lastRowFirstColumn="0" w:lastRowLastColumn="0"/>
            </w:pPr>
            <w:r>
              <w:t xml:space="preserve">Very </w:t>
            </w:r>
            <w:r w:rsidR="00293A9F">
              <w:t>High</w:t>
            </w:r>
            <w:r w:rsidR="00DA003B">
              <w:br/>
              <w:t>(</w:t>
            </w:r>
            <w:r w:rsidR="00FC294B">
              <w:t>avg. 70 residents)</w:t>
            </w:r>
          </w:p>
        </w:tc>
        <w:tc>
          <w:tcPr>
            <w:tcW w:w="1926" w:type="dxa"/>
          </w:tcPr>
          <w:p w14:paraId="7F6F15AF" w14:textId="49807019" w:rsidR="00F9045B" w:rsidRDefault="00DA003B" w:rsidP="004E608C">
            <w:pPr>
              <w:spacing w:after="120"/>
              <w:jc w:val="center"/>
              <w:cnfStyle w:val="000000000000" w:firstRow="0" w:lastRow="0" w:firstColumn="0" w:lastColumn="0" w:oddVBand="0" w:evenVBand="0" w:oddHBand="0" w:evenHBand="0" w:firstRowFirstColumn="0" w:firstRowLastColumn="0" w:lastRowFirstColumn="0" w:lastRowLastColumn="0"/>
            </w:pPr>
            <w:r>
              <w:t>1,300</w:t>
            </w:r>
            <w:r w:rsidR="00D663FA">
              <w:br/>
              <w:t>[18 per resident]</w:t>
            </w:r>
          </w:p>
        </w:tc>
        <w:tc>
          <w:tcPr>
            <w:tcW w:w="1926" w:type="dxa"/>
          </w:tcPr>
          <w:p w14:paraId="639FDDC6" w14:textId="12540B1D" w:rsidR="004D1139" w:rsidRDefault="00053793" w:rsidP="004D1139">
            <w:pPr>
              <w:spacing w:after="120"/>
              <w:jc w:val="center"/>
              <w:cnfStyle w:val="000000000000" w:firstRow="0" w:lastRow="0" w:firstColumn="0" w:lastColumn="0" w:oddVBand="0" w:evenVBand="0" w:oddHBand="0" w:evenHBand="0" w:firstRowFirstColumn="0" w:firstRowLastColumn="0" w:lastRowFirstColumn="0" w:lastRowLastColumn="0"/>
            </w:pPr>
            <w:r>
              <w:t xml:space="preserve">High = </w:t>
            </w:r>
            <w:r w:rsidR="004D1139">
              <w:t>10%</w:t>
            </w:r>
            <w:r w:rsidR="004D1139">
              <w:br/>
            </w:r>
            <w:r w:rsidR="00D67FE6">
              <w:t xml:space="preserve">Medium = </w:t>
            </w:r>
            <w:r w:rsidR="00A64173">
              <w:t>25%</w:t>
            </w:r>
          </w:p>
        </w:tc>
      </w:tr>
    </w:tbl>
    <w:p w14:paraId="7F86410C" w14:textId="77777777" w:rsidR="006E376E" w:rsidRDefault="006E376E">
      <w:r>
        <w:br w:type="page"/>
      </w:r>
    </w:p>
    <w:p w14:paraId="55D618DA" w14:textId="3A5A896C" w:rsidR="008E5E0B" w:rsidRDefault="00AE09B4" w:rsidP="005E6767">
      <w:pPr>
        <w:spacing w:before="120" w:after="120"/>
      </w:pPr>
      <w:r>
        <w:lastRenderedPageBreak/>
        <w:t xml:space="preserve">This data is contrasted against a </w:t>
      </w:r>
      <w:r w:rsidR="00B00F16">
        <w:t xml:space="preserve">provider </w:t>
      </w:r>
      <w:r>
        <w:t>who employs qualified support workers</w:t>
      </w:r>
      <w:r w:rsidR="003554AD">
        <w:t xml:space="preserve"> (Certificate III or </w:t>
      </w:r>
      <w:r w:rsidR="001D40A5">
        <w:t xml:space="preserve">support worker </w:t>
      </w:r>
      <w:r w:rsidR="003554AD">
        <w:t>experienced)</w:t>
      </w:r>
      <w:r>
        <w:t xml:space="preserve"> </w:t>
      </w:r>
      <w:r w:rsidR="00AA5F73">
        <w:t xml:space="preserve">with </w:t>
      </w:r>
      <w:r w:rsidR="00087D00">
        <w:t xml:space="preserve">an </w:t>
      </w:r>
      <w:r w:rsidR="00AA5F73">
        <w:t>all-day presence at the facility. Despite also having high</w:t>
      </w:r>
      <w:r w:rsidR="004D0418">
        <w:t xml:space="preserve">ly </w:t>
      </w:r>
      <w:r w:rsidR="00AA5F73">
        <w:t>vulnerab</w:t>
      </w:r>
      <w:r w:rsidR="004D0418">
        <w:t>le residents</w:t>
      </w:r>
      <w:r w:rsidR="00AA5F73">
        <w:t xml:space="preserve">, </w:t>
      </w:r>
      <w:r w:rsidR="00B00F16">
        <w:t xml:space="preserve">the provider </w:t>
      </w:r>
      <w:r w:rsidR="00087D00">
        <w:t xml:space="preserve">experiences small numbers of incidents </w:t>
      </w:r>
      <w:r w:rsidR="00EA6E17">
        <w:t>beyond what would be considered ‘low’ seriousness</w:t>
      </w:r>
      <w:r w:rsidR="00B35C0B">
        <w:t xml:space="preserve"> (note that these are </w:t>
      </w:r>
      <w:r w:rsidR="001D114E">
        <w:t>anecdotal,</w:t>
      </w:r>
      <w:r w:rsidR="00B35C0B">
        <w:t xml:space="preserve"> and data is not formally collected)</w:t>
      </w:r>
      <w:r w:rsidR="00EA6E17">
        <w:t xml:space="preserve">. Any </w:t>
      </w:r>
      <w:r w:rsidR="00211FF7">
        <w:t>presentations for E</w:t>
      </w:r>
      <w:r w:rsidR="001D114E">
        <w:t xml:space="preserve">mergency </w:t>
      </w:r>
      <w:r w:rsidR="00211FF7">
        <w:t>D</w:t>
      </w:r>
      <w:r w:rsidR="001D114E">
        <w:t>epartment</w:t>
      </w:r>
      <w:r w:rsidR="00211FF7">
        <w:t xml:space="preserve"> or ambulance callouts are the result of the health of the resident, not behavioural issues.</w:t>
      </w:r>
      <w:r w:rsidR="00EA6E17">
        <w:t xml:space="preserve"> The provider attributes this </w:t>
      </w:r>
      <w:r w:rsidR="00211FF7">
        <w:t xml:space="preserve">success to </w:t>
      </w:r>
      <w:r w:rsidR="00CC23CB">
        <w:t>staff understanding the resident and recognising triggers that may result in dysregulated behaviour.</w:t>
      </w:r>
    </w:p>
    <w:p w14:paraId="09250C3E" w14:textId="0B6C41BD" w:rsidR="0044182E" w:rsidRDefault="00341A03" w:rsidP="005E6767">
      <w:pPr>
        <w:spacing w:before="120" w:after="120"/>
      </w:pPr>
      <w:r>
        <w:t xml:space="preserve">While eviction data is not available across the whole </w:t>
      </w:r>
      <w:r w:rsidR="00890C9B">
        <w:t xml:space="preserve">sector, limited data from </w:t>
      </w:r>
      <w:r w:rsidR="00FC4E33">
        <w:t>three</w:t>
      </w:r>
      <w:r w:rsidR="00890C9B">
        <w:t xml:space="preserve"> facilities </w:t>
      </w:r>
      <w:r w:rsidR="003B192C">
        <w:t xml:space="preserve">accommodating approximately 200 residents shows </w:t>
      </w:r>
      <w:r w:rsidR="00825940">
        <w:t>19 evictions over 11 months (</w:t>
      </w:r>
      <w:r w:rsidR="00786A3D">
        <w:t xml:space="preserve">eviction rate of over </w:t>
      </w:r>
      <w:r w:rsidR="00825940">
        <w:t>10</w:t>
      </w:r>
      <w:r w:rsidR="00FC4E33">
        <w:t xml:space="preserve"> per cent</w:t>
      </w:r>
      <w:r w:rsidR="00825940">
        <w:t xml:space="preserve"> per year).</w:t>
      </w:r>
      <w:r w:rsidR="00786A3D">
        <w:t xml:space="preserve"> </w:t>
      </w:r>
      <w:r w:rsidR="007902F1">
        <w:t xml:space="preserve">The most common reason for eviction </w:t>
      </w:r>
      <w:r w:rsidR="00AA3E08">
        <w:t xml:space="preserve">is due to </w:t>
      </w:r>
      <w:r w:rsidR="00830894">
        <w:t>behavioural</w:t>
      </w:r>
      <w:r w:rsidR="00AA3E08">
        <w:t xml:space="preserve"> issues.</w:t>
      </w:r>
    </w:p>
    <w:p w14:paraId="6821DA5B" w14:textId="77777777" w:rsidR="006E376E" w:rsidRDefault="006E376E" w:rsidP="005E6767">
      <w:pPr>
        <w:spacing w:before="120" w:after="120"/>
      </w:pPr>
    </w:p>
    <w:p w14:paraId="3898774E" w14:textId="6E7CC991" w:rsidR="00CD3EE3" w:rsidRDefault="00B6609F" w:rsidP="00AA3E08">
      <w:pPr>
        <w:spacing w:after="120"/>
        <w:jc w:val="center"/>
      </w:pPr>
      <w:r w:rsidRPr="00B6609F">
        <w:rPr>
          <w:noProof/>
        </w:rPr>
        <w:drawing>
          <wp:inline distT="0" distB="0" distL="0" distR="0" wp14:anchorId="444DAE58" wp14:editId="2D64F51B">
            <wp:extent cx="5674836" cy="5486400"/>
            <wp:effectExtent l="0" t="0" r="2540" b="0"/>
            <wp:docPr id="46477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76550" name=""/>
                    <pic:cNvPicPr/>
                  </pic:nvPicPr>
                  <pic:blipFill>
                    <a:blip r:embed="rId16"/>
                    <a:stretch>
                      <a:fillRect/>
                    </a:stretch>
                  </pic:blipFill>
                  <pic:spPr>
                    <a:xfrm>
                      <a:off x="0" y="0"/>
                      <a:ext cx="5701072" cy="5511765"/>
                    </a:xfrm>
                    <a:prstGeom prst="rect">
                      <a:avLst/>
                    </a:prstGeom>
                  </pic:spPr>
                </pic:pic>
              </a:graphicData>
            </a:graphic>
          </wp:inline>
        </w:drawing>
      </w:r>
    </w:p>
    <w:p w14:paraId="7DB09D46" w14:textId="77777777" w:rsidR="00762228" w:rsidRDefault="00762228" w:rsidP="00AA3E08">
      <w:pPr>
        <w:spacing w:after="120"/>
      </w:pPr>
    </w:p>
    <w:p w14:paraId="7255B50C" w14:textId="037DEE80" w:rsidR="006E376E" w:rsidRDefault="006E376E">
      <w:pPr>
        <w:rPr>
          <w:rFonts w:asciiTheme="majorHAnsi" w:eastAsiaTheme="majorEastAsia" w:hAnsiTheme="majorHAnsi" w:cstheme="majorBidi"/>
          <w:b/>
          <w:bCs/>
          <w:color w:val="2F5496" w:themeColor="accent1" w:themeShade="BF"/>
          <w:sz w:val="32"/>
          <w:szCs w:val="32"/>
        </w:rPr>
      </w:pPr>
      <w:r>
        <w:rPr>
          <w:b/>
          <w:bCs/>
          <w:sz w:val="28"/>
          <w:szCs w:val="28"/>
        </w:rPr>
        <w:br w:type="page"/>
      </w:r>
    </w:p>
    <w:p w14:paraId="5D33D316" w14:textId="32794B97" w:rsidR="005D4528" w:rsidRPr="00974591" w:rsidRDefault="005D4528" w:rsidP="005D4528">
      <w:pPr>
        <w:pStyle w:val="Heading1"/>
        <w:rPr>
          <w:b/>
          <w:bCs/>
        </w:rPr>
      </w:pPr>
      <w:r>
        <w:rPr>
          <w:b/>
          <w:bCs/>
        </w:rPr>
        <w:lastRenderedPageBreak/>
        <w:t>Case Management in Supported Accommodation</w:t>
      </w:r>
    </w:p>
    <w:p w14:paraId="66C57C6A" w14:textId="4642C9AA" w:rsidR="005D4528" w:rsidRDefault="00622A88" w:rsidP="00390F75">
      <w:pPr>
        <w:spacing w:after="0"/>
      </w:pPr>
      <w:r>
        <w:t>As detailed above, residents of supported accommodation are extremely vulnerable and face many challenges on a day-to-day basis.</w:t>
      </w:r>
      <w:r w:rsidR="00DF2980">
        <w:t xml:space="preserve"> Consistent with community services practice, and seen in supportive housing </w:t>
      </w:r>
      <w:r w:rsidR="00F3443E">
        <w:t>programs</w:t>
      </w:r>
      <w:r w:rsidR="00DF2980">
        <w:t xml:space="preserve">, applying a case management approach </w:t>
      </w:r>
      <w:r w:rsidR="00F3443E">
        <w:t xml:space="preserve">can </w:t>
      </w:r>
      <w:r w:rsidR="000D6BD1">
        <w:t>help meet the complex needs of residents</w:t>
      </w:r>
      <w:r w:rsidR="00F775E1">
        <w:t>,</w:t>
      </w:r>
      <w:r w:rsidR="000D6BD1">
        <w:t xml:space="preserve"> assist</w:t>
      </w:r>
      <w:r w:rsidR="007A7F65">
        <w:t xml:space="preserve"> </w:t>
      </w:r>
      <w:r w:rsidR="000D6BD1">
        <w:t>successful tenancy</w:t>
      </w:r>
      <w:r w:rsidR="007F1E89">
        <w:t xml:space="preserve"> sustainment</w:t>
      </w:r>
      <w:r w:rsidR="000D6BD1">
        <w:t xml:space="preserve"> and contribute to improved health, wellbeing and quality of life.</w:t>
      </w:r>
    </w:p>
    <w:p w14:paraId="271FC3C5" w14:textId="0B3F6197" w:rsidR="006227CD" w:rsidRDefault="006227CD" w:rsidP="00EB7911">
      <w:pPr>
        <w:spacing w:after="0"/>
      </w:pPr>
      <w:r>
        <w:rPr>
          <w:b/>
          <w:bCs/>
          <w:noProof/>
          <w:sz w:val="24"/>
          <w:szCs w:val="24"/>
        </w:rPr>
        <mc:AlternateContent>
          <mc:Choice Requires="wps">
            <w:drawing>
              <wp:anchor distT="0" distB="0" distL="114300" distR="114300" simplePos="0" relativeHeight="251660288" behindDoc="1" locked="0" layoutInCell="1" allowOverlap="1" wp14:anchorId="6E3EEF44" wp14:editId="6E418FDD">
                <wp:simplePos x="0" y="0"/>
                <wp:positionH relativeFrom="column">
                  <wp:posOffset>-53975</wp:posOffset>
                </wp:positionH>
                <wp:positionV relativeFrom="paragraph">
                  <wp:posOffset>234950</wp:posOffset>
                </wp:positionV>
                <wp:extent cx="6317615" cy="3706091"/>
                <wp:effectExtent l="0" t="0" r="26035" b="27940"/>
                <wp:wrapNone/>
                <wp:docPr id="1891226191" name="Rectangle 5"/>
                <wp:cNvGraphicFramePr/>
                <a:graphic xmlns:a="http://schemas.openxmlformats.org/drawingml/2006/main">
                  <a:graphicData uri="http://schemas.microsoft.com/office/word/2010/wordprocessingShape">
                    <wps:wsp>
                      <wps:cNvSpPr/>
                      <wps:spPr>
                        <a:xfrm>
                          <a:off x="0" y="0"/>
                          <a:ext cx="6317615" cy="370609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C03D57" id="Rectangle 5" o:spid="_x0000_s1026" style="position:absolute;margin-left:-4.25pt;margin-top:18.5pt;width:497.45pt;height:291.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jVRgIAAOUEAAAOAAAAZHJzL2Uyb0RvYy54bWysVE1PGzEQvVfqf7B8L7sbIJSIDYpAVJUi&#10;iAoVZ8drk1W9HnfsZJP++o69H0EU9VD14ow98+bj7ZtcXe8bw3YKfQ225MVJzpmyEqravpT8+9Pd&#10;p8+c+SBsJQxYVfKD8vx6/vHDVetmagIbMJVCRkmsn7Wu5JsQ3CzLvNyoRvgTcMqSUwM2ItAVX7IK&#10;RUvZG5NN8nyatYCVQ5DKe3q97Zx8nvJrrWR40NqrwEzJqbeQTkznOp7Z/ErMXlC4TS37NsQ/dNGI&#10;2lLRMdWtCIJtsf4jVVNLBA86nEhoMtC6lirNQNMU+ZtpHjfCqTQLkePdSJP/f2nl/e7RrZBoaJ2f&#10;eTLjFHuNTfyl/tg+kXUYyVL7wCQ9Tk+Li2lxzpkk3+lFPs0vi0hndoQ79OGLgoZFo+RIXyORJHZL&#10;H7rQIYRwxwaSFQ5GxR6M/aY0qysqOUnopA11Y5DtBH3V6sdQNkVGiK6NGUHFeyATBlAfG2Eq6WUE&#10;5u8Bj9XG6FQRbBiBTW0B/w7WXfwwdTdrHHsN1WGFDKFTqnfyribylsKHlUCSJomY1i080KENtCWH&#10;3uJsA/jrvfcYT4ohL2ctSb3k/udWoOLMfLWkpcvi7CzuRrqcnV9M6IKvPevXHrttboB4L2ixnUxm&#10;jA9mMDVC80xbuYhVySWspNollwGHy03oVpD2WqrFIoXRPjgRlvbRyZg8shrF8bR/Fuh6BQUS3z0M&#10;ayFmb4TUxUakhcU2gK6Tyo689nzTLiWd9nsfl/X1PUUd/53mvwEAAP//AwBQSwMEFAAGAAgAAAAh&#10;AMRTDZPfAAAACQEAAA8AAABkcnMvZG93bnJldi54bWxMj81OwzAQhO9IvIO1SNxamwJummZTVQhO&#10;oFYUDj26yZJE+Cey3SR9e8wJjqMZzXxTbCaj2UA+dM4i3M0FMLKVqzvbIHx+vMwyYCEqWyvtLCFc&#10;KMCmvL4qVF670b7TcIgNSyU25AqhjbHPOQ9VS0aFuevJJu/LeaNikr7htVdjKjeaL4SQ3KjOpoVW&#10;9fTUUvV9OBsEt+8ueutXu+GNlsfXfRTjJJ8Rb2+m7RpYpCn+heEXP6FDmZhO7mzrwDTCLHtMSYT7&#10;ZbqU/FUmH4CdEORCSOBlwf8/KH8AAAD//wMAUEsBAi0AFAAGAAgAAAAhALaDOJL+AAAA4QEAABMA&#10;AAAAAAAAAAAAAAAAAAAAAFtDb250ZW50X1R5cGVzXS54bWxQSwECLQAUAAYACAAAACEAOP0h/9YA&#10;AACUAQAACwAAAAAAAAAAAAAAAAAvAQAAX3JlbHMvLnJlbHNQSwECLQAUAAYACAAAACEADzF41UYC&#10;AADlBAAADgAAAAAAAAAAAAAAAAAuAgAAZHJzL2Uyb0RvYy54bWxQSwECLQAUAAYACAAAACEAxFMN&#10;k98AAAAJAQAADwAAAAAAAAAAAAAAAACgBAAAZHJzL2Rvd25yZXYueG1sUEsFBgAAAAAEAAQA8wAA&#10;AKwFAAAAAA==&#10;" fillcolor="white [3201]" strokecolor="black [3200]" strokeweight="1pt"/>
            </w:pict>
          </mc:Fallback>
        </mc:AlternateContent>
      </w:r>
    </w:p>
    <w:p w14:paraId="69D535F1" w14:textId="57923F5A" w:rsidR="009F20C7" w:rsidRPr="00C5324C" w:rsidRDefault="009F20C7" w:rsidP="00C5324C">
      <w:pPr>
        <w:pStyle w:val="Heading1"/>
        <w:spacing w:before="120"/>
        <w:rPr>
          <w:b/>
          <w:bCs/>
          <w:sz w:val="24"/>
          <w:szCs w:val="24"/>
        </w:rPr>
      </w:pPr>
      <w:r w:rsidRPr="00CF4DC0">
        <w:rPr>
          <w:b/>
          <w:bCs/>
          <w:sz w:val="24"/>
          <w:szCs w:val="24"/>
        </w:rPr>
        <w:t xml:space="preserve">Recommendations from </w:t>
      </w:r>
      <w:r w:rsidRPr="00C5324C">
        <w:rPr>
          <w:b/>
          <w:bCs/>
          <w:sz w:val="24"/>
          <w:szCs w:val="24"/>
        </w:rPr>
        <w:t>Inquiry into the provision and regulation of supported accommodation in Queensland Report No. 44, Community Support and Services Committee June 2024</w:t>
      </w:r>
    </w:p>
    <w:p w14:paraId="33834B33" w14:textId="4391B69C" w:rsidR="009F20C7" w:rsidRPr="001B757A" w:rsidRDefault="009F20C7" w:rsidP="00024E09">
      <w:pPr>
        <w:spacing w:after="120"/>
      </w:pPr>
      <w:r>
        <w:t>The Inquiry made recommendations related to the introduction of case management (Rec 8b), or where effective case management would help meet the recommendation (Recs 6 and 8a):</w:t>
      </w:r>
    </w:p>
    <w:p w14:paraId="78FAF143" w14:textId="77777777" w:rsidR="00024E09" w:rsidRPr="0079030B" w:rsidRDefault="00024E09" w:rsidP="00492486">
      <w:pPr>
        <w:spacing w:after="0"/>
        <w:ind w:left="284"/>
        <w:rPr>
          <w:i/>
          <w:iCs/>
        </w:rPr>
      </w:pPr>
      <w:r w:rsidRPr="008531A1">
        <w:rPr>
          <w:i/>
          <w:iCs/>
          <w:u w:val="single"/>
        </w:rPr>
        <w:t>Recommendation 6</w:t>
      </w:r>
      <w:r>
        <w:rPr>
          <w:i/>
          <w:iCs/>
        </w:rPr>
        <w:t xml:space="preserve">: </w:t>
      </w:r>
      <w:r w:rsidRPr="0079030B">
        <w:rPr>
          <w:i/>
          <w:iCs/>
        </w:rPr>
        <w:t xml:space="preserve">The committee recommends the Department of Housing, Local Government, Planning and Public Works consider how it can better support vulnerable tenants living in residential services, including: </w:t>
      </w:r>
    </w:p>
    <w:p w14:paraId="4E0697B1" w14:textId="77777777" w:rsidR="00024E09" w:rsidRPr="0079030B" w:rsidRDefault="00024E09" w:rsidP="002F0C0D">
      <w:pPr>
        <w:pStyle w:val="ListParagraph"/>
        <w:numPr>
          <w:ilvl w:val="0"/>
          <w:numId w:val="8"/>
        </w:numPr>
        <w:spacing w:after="120"/>
        <w:ind w:left="709"/>
        <w:rPr>
          <w:rFonts w:asciiTheme="minorHAnsi" w:hAnsiTheme="minorHAnsi" w:cstheme="minorHAnsi"/>
          <w:i/>
          <w:iCs/>
        </w:rPr>
      </w:pPr>
      <w:r w:rsidRPr="0079030B">
        <w:rPr>
          <w:rFonts w:asciiTheme="minorHAnsi" w:hAnsiTheme="minorHAnsi" w:cstheme="minorHAnsi"/>
          <w:i/>
          <w:iCs/>
        </w:rPr>
        <w:t>tenants issued with a Notice to Leave without sufficient notice, following an alleged breach</w:t>
      </w:r>
    </w:p>
    <w:p w14:paraId="6DF640FB" w14:textId="77777777" w:rsidR="00024E09" w:rsidRPr="0079030B" w:rsidRDefault="00024E09" w:rsidP="002F0C0D">
      <w:pPr>
        <w:pStyle w:val="ListParagraph"/>
        <w:numPr>
          <w:ilvl w:val="0"/>
          <w:numId w:val="8"/>
        </w:numPr>
        <w:spacing w:after="120"/>
        <w:ind w:left="709"/>
        <w:rPr>
          <w:rFonts w:asciiTheme="minorHAnsi" w:hAnsiTheme="minorHAnsi" w:cstheme="minorHAnsi"/>
          <w:i/>
          <w:iCs/>
        </w:rPr>
      </w:pPr>
      <w:r w:rsidRPr="0079030B">
        <w:rPr>
          <w:rFonts w:asciiTheme="minorHAnsi" w:hAnsiTheme="minorHAnsi" w:cstheme="minorHAnsi"/>
          <w:i/>
          <w:iCs/>
        </w:rPr>
        <w:t>modification of zero tolerance requisites in tenancy agreements with vulnerable residents.</w:t>
      </w:r>
    </w:p>
    <w:p w14:paraId="4EE8A58A" w14:textId="77777777" w:rsidR="009F20C7" w:rsidRPr="00B410D0" w:rsidRDefault="009F20C7" w:rsidP="00763D54">
      <w:pPr>
        <w:spacing w:after="120"/>
        <w:ind w:left="284"/>
        <w:rPr>
          <w:i/>
          <w:iCs/>
        </w:rPr>
      </w:pPr>
      <w:r w:rsidRPr="008531A1">
        <w:rPr>
          <w:i/>
          <w:iCs/>
          <w:u w:val="single"/>
        </w:rPr>
        <w:t>Recommendation 8a</w:t>
      </w:r>
      <w:r>
        <w:rPr>
          <w:i/>
          <w:iCs/>
        </w:rPr>
        <w:t xml:space="preserve">: </w:t>
      </w:r>
      <w:r w:rsidRPr="00B410D0">
        <w:rPr>
          <w:i/>
          <w:iCs/>
        </w:rPr>
        <w:t xml:space="preserve">Endorsing the Public Advocate’s Recommendation 2, the committee recommends the Department of Housing, Local Government, Planning and Public Works require providers of accredited level 3 residential services to arrange for individual independent assessments of the housing and support needs of all new residents, and bi-annual assessments of the housing and support needs of existing residents. </w:t>
      </w:r>
    </w:p>
    <w:p w14:paraId="4E2379F2" w14:textId="77777777" w:rsidR="009F20C7" w:rsidRPr="00961ABB" w:rsidRDefault="009F20C7" w:rsidP="00763D54">
      <w:pPr>
        <w:spacing w:after="120"/>
        <w:ind w:left="284"/>
        <w:rPr>
          <w:i/>
          <w:iCs/>
        </w:rPr>
      </w:pPr>
      <w:r w:rsidRPr="008531A1">
        <w:rPr>
          <w:i/>
          <w:iCs/>
          <w:u w:val="single"/>
        </w:rPr>
        <w:t>Recommendation 8b</w:t>
      </w:r>
      <w:r>
        <w:rPr>
          <w:i/>
          <w:iCs/>
        </w:rPr>
        <w:t xml:space="preserve">: </w:t>
      </w:r>
      <w:r w:rsidRPr="00B410D0">
        <w:rPr>
          <w:i/>
          <w:iCs/>
        </w:rPr>
        <w:t>Endorsing the Public Advocate’s Recommendation 3, the committee recommends that the Queensland Government should consider funding and oversight of the provision of case management services to supported</w:t>
      </w:r>
      <w:r w:rsidRPr="00961ABB">
        <w:rPr>
          <w:i/>
          <w:iCs/>
        </w:rPr>
        <w:t xml:space="preserve"> accommodation residents who currently have significant unmet support needs.</w:t>
      </w:r>
    </w:p>
    <w:p w14:paraId="22DDD46C" w14:textId="1A74D887" w:rsidR="00492486" w:rsidRDefault="00492486" w:rsidP="00086B14">
      <w:pPr>
        <w:pStyle w:val="Heading1"/>
        <w:spacing w:before="120"/>
        <w:rPr>
          <w:b/>
          <w:bCs/>
          <w:sz w:val="24"/>
          <w:szCs w:val="24"/>
        </w:rPr>
      </w:pPr>
      <w:r>
        <w:rPr>
          <w:b/>
          <w:bCs/>
          <w:noProof/>
          <w:sz w:val="24"/>
          <w:szCs w:val="24"/>
        </w:rPr>
        <mc:AlternateContent>
          <mc:Choice Requires="wps">
            <w:drawing>
              <wp:anchor distT="0" distB="0" distL="114300" distR="114300" simplePos="0" relativeHeight="251662336" behindDoc="1" locked="0" layoutInCell="1" allowOverlap="1" wp14:anchorId="1035020B" wp14:editId="5C713DBB">
                <wp:simplePos x="0" y="0"/>
                <wp:positionH relativeFrom="margin">
                  <wp:posOffset>-48145</wp:posOffset>
                </wp:positionH>
                <wp:positionV relativeFrom="paragraph">
                  <wp:posOffset>211051</wp:posOffset>
                </wp:positionV>
                <wp:extent cx="6324542" cy="3366654"/>
                <wp:effectExtent l="0" t="0" r="19685" b="24765"/>
                <wp:wrapNone/>
                <wp:docPr id="1805050776" name="Rectangle 5"/>
                <wp:cNvGraphicFramePr/>
                <a:graphic xmlns:a="http://schemas.openxmlformats.org/drawingml/2006/main">
                  <a:graphicData uri="http://schemas.microsoft.com/office/word/2010/wordprocessingShape">
                    <wps:wsp>
                      <wps:cNvSpPr/>
                      <wps:spPr>
                        <a:xfrm>
                          <a:off x="0" y="0"/>
                          <a:ext cx="6324542" cy="33666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11E1C" id="Rectangle 5" o:spid="_x0000_s1026" style="position:absolute;margin-left:-3.8pt;margin-top:16.6pt;width:498pt;height:265.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xjRwIAAOUEAAAOAAAAZHJzL2Uyb0RvYy54bWysVNtuEzEQfUfiHyy/082tAaJsqqhVEVLV&#10;RrSoz67Xzq7weszYySZ8PWPvJVWJeEC8OGPPnLmcPZPl1aE2bK/QV2BzPr4YcaashKKy25x/f7r9&#10;8IkzH4QthAGrcn5Unl+t3r9bNm6hJlCCKRQySmL9onE5L0NwiyzzslS18BfglCWnBqxFoCtuswJF&#10;Q9lrk01Go3nWABYOQSrv6fWmdfJVyq+1kuFBa68CMzmn3kI6MZ0v8cxWS7HYonBlJbs2xD90UYvK&#10;UtEh1Y0Igu2w+iNVXUkEDzpcSKgz0LqSKs1A04xHb6Z5LIVTaRYix7uBJv//0sr7/aPbINHQOL/w&#10;ZMYpDhrr+Ev9sUMi6ziQpQ6BSXqcTyezy9mEM0m+6XQ+n1/OIp3ZCe7Qhy8KahaNnCN9jUSS2N/5&#10;0Ib2IYQ7NZCscDQq9mDsN6VZVVDJSUInbahrg2wv6KsWP8Zd2RQZIboyZgCNz4FM6EFdbISppJcB&#10;ODoHPFUbolNFsGEA1pUF/DtYt/H91O2scewXKI4bZAitUr2TtxWRdyd82AgkaZKIad3CAx3aQJNz&#10;6CzOSsBf595jPCmGvJw1JPWc+587gYoz89WSlj6PZ7O4G+kyu/w4oQu+9ry89thdfQ3E+5gW28lk&#10;xvhgelMj1M+0letYlVzCSqqdcxmwv1yHdgVpr6Var1MY7YMT4c4+OhmTR1ajOJ4OzwJdp6BA4ruH&#10;fi3E4o2Q2tiItLDeBdBVUtmJ145v2qWk027v47K+vqeo07/T6jcAAAD//wMAUEsDBBQABgAIAAAA&#10;IQA8G2UO4AAAAAkBAAAPAAAAZHJzL2Rvd25yZXYueG1sTI/NTsMwEITvSLyDtUjcWoempGmaTVUh&#10;OIFaUTj06MZLEuGfyHaT9O0xJziOZjTzTbmdtGIDOd9Zg/AwT4CRqa3sTIPw+fEyy4H5IIwUyhpC&#10;uJKHbXV7U4pC2tG803AMDYslxhcCoQ2hLzj3dUta+LntyUTvyzotQpSu4dKJMZZrxRdJknEtOhMX&#10;WtHTU0v19/GiEeyhu6qdW++HN1qdXg8hGafsGfH+btptgAWawl8YfvEjOlSR6WwvRnqmEGarLCYR&#10;0nQBLPrrPF8COyM8ZukSeFXy/w+qHwAAAP//AwBQSwECLQAUAAYACAAAACEAtoM4kv4AAADhAQAA&#10;EwAAAAAAAAAAAAAAAAAAAAAAW0NvbnRlbnRfVHlwZXNdLnhtbFBLAQItABQABgAIAAAAIQA4/SH/&#10;1gAAAJQBAAALAAAAAAAAAAAAAAAAAC8BAABfcmVscy8ucmVsc1BLAQItABQABgAIAAAAIQC4q/xj&#10;RwIAAOUEAAAOAAAAAAAAAAAAAAAAAC4CAABkcnMvZTJvRG9jLnhtbFBLAQItABQABgAIAAAAIQA8&#10;G2UO4AAAAAkBAAAPAAAAAAAAAAAAAAAAAKEEAABkcnMvZG93bnJldi54bWxQSwUGAAAAAAQABADz&#10;AAAArgUAAAAA&#10;" fillcolor="white [3201]" strokecolor="black [3200]" strokeweight="1pt">
                <w10:wrap anchorx="margin"/>
              </v:rect>
            </w:pict>
          </mc:Fallback>
        </mc:AlternateContent>
      </w:r>
    </w:p>
    <w:p w14:paraId="6079354E" w14:textId="5EE536D1" w:rsidR="009F20C7" w:rsidRPr="00CF4DC0" w:rsidRDefault="009F20C7" w:rsidP="00086B14">
      <w:pPr>
        <w:pStyle w:val="Heading1"/>
        <w:spacing w:before="0"/>
        <w:rPr>
          <w:b/>
          <w:bCs/>
          <w:sz w:val="24"/>
          <w:szCs w:val="24"/>
        </w:rPr>
      </w:pPr>
      <w:r w:rsidRPr="00CF4DC0">
        <w:rPr>
          <w:b/>
          <w:bCs/>
          <w:sz w:val="24"/>
          <w:szCs w:val="24"/>
        </w:rPr>
        <w:t xml:space="preserve">Recommendation from </w:t>
      </w:r>
      <w:r>
        <w:rPr>
          <w:b/>
          <w:bCs/>
          <w:sz w:val="24"/>
          <w:szCs w:val="24"/>
        </w:rPr>
        <w:t>Royal Commission</w:t>
      </w:r>
      <w:r w:rsidR="004C7FF2">
        <w:rPr>
          <w:b/>
          <w:bCs/>
          <w:sz w:val="24"/>
          <w:szCs w:val="24"/>
        </w:rPr>
        <w:t xml:space="preserve"> </w:t>
      </w:r>
      <w:r w:rsidR="004C7FF2" w:rsidRPr="004C7FF2">
        <w:rPr>
          <w:b/>
          <w:bCs/>
          <w:sz w:val="24"/>
          <w:szCs w:val="24"/>
        </w:rPr>
        <w:t>into Violence, Abuse, Neglect and Exploitation of People with Disability</w:t>
      </w:r>
    </w:p>
    <w:p w14:paraId="24FEEAA6" w14:textId="63CC7F5F" w:rsidR="009F20C7" w:rsidRDefault="009F20C7" w:rsidP="00024E09">
      <w:pPr>
        <w:spacing w:after="120"/>
      </w:pPr>
      <w:r>
        <w:t>The Royal Commission made a recommendation about supported accommodation delivered by state and territory governments. Effective case management would help deliver on this recommendation.</w:t>
      </w:r>
    </w:p>
    <w:p w14:paraId="627C98B3" w14:textId="77777777" w:rsidR="009F20C7" w:rsidRPr="008D7D0B" w:rsidRDefault="009F20C7" w:rsidP="00763D54">
      <w:pPr>
        <w:spacing w:after="0"/>
        <w:ind w:left="284"/>
        <w:rPr>
          <w:i/>
          <w:iCs/>
        </w:rPr>
      </w:pPr>
      <w:r w:rsidRPr="00933DB1">
        <w:rPr>
          <w:i/>
          <w:iCs/>
          <w:u w:val="single"/>
        </w:rPr>
        <w:t>Recommendation 7.38</w:t>
      </w:r>
      <w:r w:rsidRPr="00933DB1">
        <w:rPr>
          <w:i/>
          <w:iCs/>
        </w:rPr>
        <w:t xml:space="preserve"> Minimum service standards and monitoring and oversight of supported residential services and their equivalents</w:t>
      </w:r>
      <w:r>
        <w:rPr>
          <w:i/>
          <w:iCs/>
        </w:rPr>
        <w:br/>
      </w:r>
      <w:r w:rsidRPr="008D7D0B">
        <w:rPr>
          <w:i/>
          <w:iCs/>
        </w:rPr>
        <w:t>Minimum standards should require all SRS providers and their equivalents in other jurisdictions to:</w:t>
      </w:r>
    </w:p>
    <w:p w14:paraId="60FB0648" w14:textId="77777777" w:rsidR="009F20C7" w:rsidRPr="008D7D0B" w:rsidRDefault="009F20C7" w:rsidP="002F0C0D">
      <w:pPr>
        <w:pStyle w:val="ListParagraph"/>
        <w:numPr>
          <w:ilvl w:val="0"/>
          <w:numId w:val="8"/>
        </w:numPr>
        <w:spacing w:after="120"/>
        <w:ind w:left="709"/>
        <w:rPr>
          <w:rFonts w:asciiTheme="minorHAnsi" w:hAnsiTheme="minorHAnsi" w:cstheme="minorHAnsi"/>
          <w:i/>
          <w:iCs/>
        </w:rPr>
      </w:pPr>
      <w:r w:rsidRPr="008D7D0B">
        <w:rPr>
          <w:rFonts w:asciiTheme="minorHAnsi" w:hAnsiTheme="minorHAnsi" w:cstheme="minorHAnsi"/>
          <w:i/>
          <w:iCs/>
        </w:rPr>
        <w:t>develop support plans for each resident, covering personal care, financial management, medication management, and the use of restrictive practices</w:t>
      </w:r>
    </w:p>
    <w:p w14:paraId="192CF0A5" w14:textId="77777777" w:rsidR="009F20C7" w:rsidRPr="008D7D0B" w:rsidRDefault="009F20C7" w:rsidP="002F0C0D">
      <w:pPr>
        <w:pStyle w:val="ListParagraph"/>
        <w:numPr>
          <w:ilvl w:val="0"/>
          <w:numId w:val="8"/>
        </w:numPr>
        <w:spacing w:after="120"/>
        <w:ind w:left="709"/>
        <w:rPr>
          <w:rFonts w:asciiTheme="minorHAnsi" w:hAnsiTheme="minorHAnsi" w:cstheme="minorHAnsi"/>
          <w:i/>
          <w:iCs/>
        </w:rPr>
      </w:pPr>
      <w:r w:rsidRPr="008D7D0B">
        <w:rPr>
          <w:rFonts w:asciiTheme="minorHAnsi" w:hAnsiTheme="minorHAnsi" w:cstheme="minorHAnsi"/>
          <w:i/>
          <w:iCs/>
        </w:rPr>
        <w:t>keep up-to-date records of how services are delivered in line with support plans, to allow regulatory bodies to more effectively monitor the quality of supports and services by regulatory bodies</w:t>
      </w:r>
    </w:p>
    <w:p w14:paraId="6C18A069" w14:textId="77777777" w:rsidR="009F20C7" w:rsidRPr="008D7D0B" w:rsidRDefault="009F20C7" w:rsidP="002F0C0D">
      <w:pPr>
        <w:pStyle w:val="ListParagraph"/>
        <w:numPr>
          <w:ilvl w:val="0"/>
          <w:numId w:val="8"/>
        </w:numPr>
        <w:spacing w:after="120"/>
        <w:ind w:left="709"/>
        <w:rPr>
          <w:rFonts w:asciiTheme="minorHAnsi" w:hAnsiTheme="minorHAnsi" w:cstheme="minorHAnsi"/>
          <w:i/>
          <w:iCs/>
        </w:rPr>
      </w:pPr>
      <w:r w:rsidRPr="008D7D0B">
        <w:rPr>
          <w:rFonts w:asciiTheme="minorHAnsi" w:hAnsiTheme="minorHAnsi" w:cstheme="minorHAnsi"/>
          <w:i/>
          <w:iCs/>
        </w:rPr>
        <w:t>establish clear complaint management processes, including how complaints are reported to the central registration body, and a feedback loop for residents, their family and advocates</w:t>
      </w:r>
    </w:p>
    <w:p w14:paraId="07CEDE60" w14:textId="77777777" w:rsidR="009F20C7" w:rsidRPr="008D7D0B" w:rsidRDefault="009F20C7" w:rsidP="002F0C0D">
      <w:pPr>
        <w:pStyle w:val="ListParagraph"/>
        <w:numPr>
          <w:ilvl w:val="0"/>
          <w:numId w:val="8"/>
        </w:numPr>
        <w:spacing w:after="120"/>
        <w:ind w:left="709"/>
        <w:rPr>
          <w:rFonts w:asciiTheme="minorHAnsi" w:hAnsiTheme="minorHAnsi" w:cstheme="minorHAnsi"/>
          <w:i/>
          <w:iCs/>
        </w:rPr>
      </w:pPr>
      <w:r w:rsidRPr="008D7D0B">
        <w:rPr>
          <w:rFonts w:asciiTheme="minorHAnsi" w:hAnsiTheme="minorHAnsi" w:cstheme="minorHAnsi"/>
          <w:i/>
          <w:iCs/>
        </w:rPr>
        <w:t>guarantee access to independent advocacy services through advocacy organisations and community visitor schemes</w:t>
      </w:r>
    </w:p>
    <w:p w14:paraId="2635B0AA" w14:textId="77777777" w:rsidR="009F20C7" w:rsidRPr="008D7D0B" w:rsidRDefault="009F20C7" w:rsidP="002F0C0D">
      <w:pPr>
        <w:pStyle w:val="ListParagraph"/>
        <w:numPr>
          <w:ilvl w:val="0"/>
          <w:numId w:val="8"/>
        </w:numPr>
        <w:spacing w:after="120"/>
        <w:ind w:left="709"/>
        <w:rPr>
          <w:rFonts w:asciiTheme="minorHAnsi" w:hAnsiTheme="minorHAnsi" w:cstheme="minorHAnsi"/>
          <w:i/>
          <w:iCs/>
        </w:rPr>
      </w:pPr>
      <w:r w:rsidRPr="008D7D0B">
        <w:rPr>
          <w:rFonts w:asciiTheme="minorHAnsi" w:hAnsiTheme="minorHAnsi" w:cstheme="minorHAnsi"/>
          <w:i/>
          <w:iCs/>
        </w:rPr>
        <w:t>support residents to access independent advocacy services focused on identifying alternative, longer term accommodation options in recognition of the transitionary nature of these services.</w:t>
      </w:r>
    </w:p>
    <w:p w14:paraId="1607782B" w14:textId="16466828" w:rsidR="00651E43" w:rsidRDefault="00492486" w:rsidP="00492486">
      <w:pPr>
        <w:spacing w:after="120"/>
      </w:pPr>
      <w:r>
        <w:lastRenderedPageBreak/>
        <w:t xml:space="preserve">For supported accommodation, case management would involve a holistic approach where case managers would work with residents with </w:t>
      </w:r>
      <w:r w:rsidRPr="00125F7A">
        <w:t>complex goals requir</w:t>
      </w:r>
      <w:r>
        <w:t>ing</w:t>
      </w:r>
      <w:r w:rsidRPr="00125F7A">
        <w:t xml:space="preserve"> a co-ordinated response across more than one service provider</w:t>
      </w:r>
      <w:r>
        <w:t xml:space="preserve">. </w:t>
      </w:r>
      <w:r w:rsidR="00651E43">
        <w:t xml:space="preserve">The case manager would work with all residents to form a case/support plan identifying the resident’s needs and goals, and actions that will help </w:t>
      </w:r>
      <w:r w:rsidR="00072257">
        <w:t>meet them. The</w:t>
      </w:r>
      <w:r w:rsidR="00354F39">
        <w:t xml:space="preserve"> case manager and resident would </w:t>
      </w:r>
      <w:r w:rsidR="00072257">
        <w:t>regularly review</w:t>
      </w:r>
      <w:r w:rsidR="00354F39">
        <w:t xml:space="preserve"> the plans</w:t>
      </w:r>
      <w:r w:rsidR="005A62B3">
        <w:t xml:space="preserve"> to monitor progress and identify new needs or goals</w:t>
      </w:r>
      <w:r w:rsidR="00354F39">
        <w:t>.</w:t>
      </w:r>
    </w:p>
    <w:p w14:paraId="366C1A91" w14:textId="06B424D5" w:rsidR="00630397" w:rsidRDefault="005342D3" w:rsidP="00492486">
      <w:pPr>
        <w:spacing w:after="120"/>
      </w:pPr>
      <w:r>
        <w:t xml:space="preserve">Any actions arising from the plan would be provided by the case manager, another staff member of the facility, a visiting service or </w:t>
      </w:r>
      <w:r w:rsidR="00813317">
        <w:t xml:space="preserve">via an external off-site provider. </w:t>
      </w:r>
      <w:r w:rsidR="00630397">
        <w:t>Case managers are experienced in forming service provider networks and leading case coordination to enable residents to access needed services.</w:t>
      </w:r>
    </w:p>
    <w:p w14:paraId="507195B4" w14:textId="6D10BE94" w:rsidR="00492486" w:rsidRDefault="00A26A12" w:rsidP="00492486">
      <w:pPr>
        <w:spacing w:after="120"/>
      </w:pPr>
      <w:r>
        <w:t xml:space="preserve">Activities </w:t>
      </w:r>
      <w:r w:rsidR="00B31618">
        <w:t xml:space="preserve">to meet the resident’s support plan would typically </w:t>
      </w:r>
      <w:r w:rsidR="00492486">
        <w:t>include daily living</w:t>
      </w:r>
      <w:r w:rsidR="00813317">
        <w:t xml:space="preserve"> support</w:t>
      </w:r>
      <w:r w:rsidR="00492486">
        <w:t>, tenancy management support, financial advice and advocacy, legal and justice</w:t>
      </w:r>
      <w:r w:rsidR="00B31618">
        <w:t xml:space="preserve"> support</w:t>
      </w:r>
      <w:r w:rsidR="00492486">
        <w:t>, emotional counselling, health, mental health and AOD, accessing NDIS and Aged Care, community connection and recreational and social opportunities, through to longer term exit planning into public or private rental (if the resident chooses). Experienced case managers are also able to support people to make their own decisions about the services they receive and the choices they make.</w:t>
      </w:r>
    </w:p>
    <w:p w14:paraId="56B091D1" w14:textId="50530109" w:rsidR="006672C4" w:rsidRDefault="00C710CA" w:rsidP="00141A5D">
      <w:pPr>
        <w:spacing w:after="0"/>
      </w:pPr>
      <w:r>
        <w:t>Case managers will also be able to</w:t>
      </w:r>
      <w:r w:rsidR="00630397">
        <w:t xml:space="preserve"> </w:t>
      </w:r>
      <w:r>
        <w:t xml:space="preserve">guide and advise other </w:t>
      </w:r>
      <w:r w:rsidR="00284EB3">
        <w:t>facility staff with how to best support residents</w:t>
      </w:r>
      <w:r w:rsidR="00A54B7F">
        <w:t>, such as building trust and rapport, effective de-escalation techniques and advocating for services.</w:t>
      </w:r>
    </w:p>
    <w:p w14:paraId="462BA921" w14:textId="1B5BA3BE" w:rsidR="00141A5D" w:rsidRDefault="00141A5D" w:rsidP="00141A5D">
      <w:pPr>
        <w:spacing w:after="0"/>
      </w:pPr>
      <w:r>
        <w:rPr>
          <w:noProof/>
        </w:rPr>
        <mc:AlternateContent>
          <mc:Choice Requires="wps">
            <w:drawing>
              <wp:anchor distT="0" distB="0" distL="114300" distR="114300" simplePos="0" relativeHeight="251659264" behindDoc="1" locked="0" layoutInCell="1" allowOverlap="1" wp14:anchorId="5075B651" wp14:editId="09CC267E">
                <wp:simplePos x="0" y="0"/>
                <wp:positionH relativeFrom="column">
                  <wp:posOffset>-59864</wp:posOffset>
                </wp:positionH>
                <wp:positionV relativeFrom="paragraph">
                  <wp:posOffset>145819</wp:posOffset>
                </wp:positionV>
                <wp:extent cx="6366163" cy="2590800"/>
                <wp:effectExtent l="0" t="0" r="15875" b="19050"/>
                <wp:wrapNone/>
                <wp:docPr id="1801836664" name="Rectangle 3"/>
                <wp:cNvGraphicFramePr/>
                <a:graphic xmlns:a="http://schemas.openxmlformats.org/drawingml/2006/main">
                  <a:graphicData uri="http://schemas.microsoft.com/office/word/2010/wordprocessingShape">
                    <wps:wsp>
                      <wps:cNvSpPr/>
                      <wps:spPr>
                        <a:xfrm>
                          <a:off x="0" y="0"/>
                          <a:ext cx="6366163" cy="259080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50DEC" id="Rectangle 3" o:spid="_x0000_s1026" style="position:absolute;margin-left:-4.7pt;margin-top:11.5pt;width:501.25pt;height:20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aTwIAAO0EAAAOAAAAZHJzL2Uyb0RvYy54bWysVE1vGjEQvVfqf7B8b3aXEJoglggRpaoU&#10;JVGTKmfjtWFVr8cdGxb66zs2y0JTTlUvxuOZNx9v3zC53TaGbRT6GmzJi4ucM2UlVLVdlvz76/2n&#10;a858ELYSBqwq+U55fjv9+GHSurEawApMpZBREuvHrSv5KgQ3zjIvV6oR/gKcsuTUgI0IZOIyq1C0&#10;lL0x2SDPR1kLWDkEqbyn17u9k09Tfq2VDE9aexWYKTn1FtKJ6VzEM5tOxHiJwq1q2bUh/qGLRtSW&#10;ivap7kQQbI31X6maWiJ40OFCQpOB1rVUaQaapsjfTfOyEk6lWYgc73qa/P9LKx83L+4ZiYbW+bGn&#10;a5xiq7GJv9Qf2yaydj1ZahuYpMfR5WhUjC45k+QbXN3k13miMzvCHfrwRUHD4qXkSF8jkSQ2Dz5Q&#10;SQo9hJBxbCDdws6o2IOx35RmdUUlBwmdtKHmBtlG0FcVUiobruKXpHwpOsJ0bUwPLM4BTSg6UBcb&#10;YSpppgfm54B/VuwRqSrY0IOb2gKeS1D96Cvv4w/T72eO4y+g2j0jQ9gr1jt5XxOJD8KHZ4EkURIz&#10;rV14okMbaEsO3Y2zFeCvc+8xnpRDXs5aknzJ/c+1QMWZ+WpJUzfFcBh3JBnDq88DMvDUszj12HUz&#10;B+K/oAV3Ml1jfDCHq0Zo3mg7Z7EquYSVVLvkMuDBmIf9KtJ+SzWbpTDaCyfCg31xMiaPrEaRvG7f&#10;BLpOSYFE+AiH9RDjd4Lax0akhdk6gK6T2o68dnzTTiXRdPsfl/bUTlHHf6npbwAAAP//AwBQSwME&#10;FAAGAAgAAAAhAB6Zwo7iAAAACQEAAA8AAABkcnMvZG93bnJldi54bWxMj0FLw0AUhO+C/2F5grd2&#10;k6aKiXkpUhEsiGIUtLdt9jWJZndjdtvEf+/zpMdhhplv8tVkOnGkwbfOIsTzCATZyunW1givL3ez&#10;KxA+KKtV5ywhfJOHVXF6kqtMu9E+07EMteAS6zOF0ITQZ1L6qiGj/Nz1ZNnbu8GowHKopR7UyOWm&#10;k4soupRGtZYXGtXTuqHqszwYhIvHUT6tv8q02d+/327ethvz8LFFPD+bbq5BBJrCXxh+8RkdCmba&#10;uYPVXnQIs3TJSYRFwpfYT9MkBrFDWCZxBLLI5f8HxQ8AAAD//wMAUEsBAi0AFAAGAAgAAAAhALaD&#10;OJL+AAAA4QEAABMAAAAAAAAAAAAAAAAAAAAAAFtDb250ZW50X1R5cGVzXS54bWxQSwECLQAUAAYA&#10;CAAAACEAOP0h/9YAAACUAQAACwAAAAAAAAAAAAAAAAAvAQAAX3JlbHMvLnJlbHNQSwECLQAUAAYA&#10;CAAAACEAsZG/2k8CAADtBAAADgAAAAAAAAAAAAAAAAAuAgAAZHJzL2Uyb0RvYy54bWxQSwECLQAU&#10;AAYACAAAACEAHpnCjuIAAAAJAQAADwAAAAAAAAAAAAAAAACpBAAAZHJzL2Rvd25yZXYueG1sUEsF&#10;BgAAAAAEAAQA8wAAALgFAAAAAA==&#10;" fillcolor="white [3201]" strokecolor="#5b9bd5 [3208]" strokeweight="1pt"/>
            </w:pict>
          </mc:Fallback>
        </mc:AlternateContent>
      </w:r>
    </w:p>
    <w:p w14:paraId="1DCAA0AA" w14:textId="77777777" w:rsidR="006672C4" w:rsidRPr="006672C4" w:rsidRDefault="006672C4" w:rsidP="006672C4">
      <w:pPr>
        <w:spacing w:after="120"/>
        <w:rPr>
          <w:color w:val="4472C4" w:themeColor="accent1"/>
        </w:rPr>
      </w:pPr>
      <w:r w:rsidRPr="006672C4">
        <w:rPr>
          <w:color w:val="4472C4" w:themeColor="accent1"/>
        </w:rPr>
        <w:t>The report ‘</w:t>
      </w:r>
      <w:r w:rsidRPr="006672C4">
        <w:rPr>
          <w:i/>
          <w:iCs/>
          <w:color w:val="4472C4" w:themeColor="accent1"/>
        </w:rPr>
        <w:t>Evidence about Best Practice in Supported Accommodation Services: What Needs to be in Place? A literature review for the NDIS Quality and Safeguards Commission Professor Christine Bigby October 2022</w:t>
      </w:r>
      <w:r w:rsidRPr="006672C4">
        <w:rPr>
          <w:color w:val="4472C4" w:themeColor="accent1"/>
        </w:rPr>
        <w:t xml:space="preserve">’ provides ten components of a best practice framework for supported accommodation. </w:t>
      </w:r>
    </w:p>
    <w:p w14:paraId="01825854" w14:textId="595BE4D6" w:rsidR="006672C4" w:rsidRPr="006672C4" w:rsidRDefault="006672C4" w:rsidP="006672C4">
      <w:pPr>
        <w:spacing w:after="0"/>
        <w:rPr>
          <w:color w:val="4472C4" w:themeColor="accent1"/>
        </w:rPr>
      </w:pPr>
      <w:r w:rsidRPr="006672C4">
        <w:rPr>
          <w:color w:val="4472C4" w:themeColor="accent1"/>
        </w:rPr>
        <w:t xml:space="preserve">The following </w:t>
      </w:r>
      <w:r w:rsidR="00012B98">
        <w:rPr>
          <w:color w:val="4472C4" w:themeColor="accent1"/>
        </w:rPr>
        <w:t xml:space="preserve">seven </w:t>
      </w:r>
      <w:r w:rsidRPr="006672C4">
        <w:rPr>
          <w:color w:val="4472C4" w:themeColor="accent1"/>
        </w:rPr>
        <w:t xml:space="preserve">components </w:t>
      </w:r>
      <w:r w:rsidR="0009653E">
        <w:rPr>
          <w:color w:val="4472C4" w:themeColor="accent1"/>
        </w:rPr>
        <w:t xml:space="preserve">are applicable </w:t>
      </w:r>
      <w:r w:rsidRPr="006672C4">
        <w:rPr>
          <w:color w:val="4472C4" w:themeColor="accent1"/>
        </w:rPr>
        <w:t>for case management practice.</w:t>
      </w:r>
    </w:p>
    <w:p w14:paraId="00833555" w14:textId="77777777" w:rsidR="006672C4" w:rsidRPr="006672C4" w:rsidRDefault="006672C4" w:rsidP="002F0C0D">
      <w:pPr>
        <w:pStyle w:val="ListParagraph"/>
        <w:numPr>
          <w:ilvl w:val="0"/>
          <w:numId w:val="1"/>
        </w:numPr>
        <w:spacing w:after="120"/>
        <w:ind w:left="714" w:hanging="357"/>
        <w:rPr>
          <w:rFonts w:ascii="Calibri" w:hAnsi="Calibri" w:cs="Calibri"/>
          <w:color w:val="4472C4" w:themeColor="accent1"/>
        </w:rPr>
      </w:pPr>
      <w:r w:rsidRPr="006672C4">
        <w:rPr>
          <w:rFonts w:ascii="Calibri" w:hAnsi="Calibri" w:cs="Calibri"/>
          <w:color w:val="4472C4" w:themeColor="accent1"/>
        </w:rPr>
        <w:t>Staff practice of Active Support</w:t>
      </w:r>
    </w:p>
    <w:p w14:paraId="44A1B4CD" w14:textId="7007D683" w:rsidR="006672C4" w:rsidRPr="006672C4" w:rsidRDefault="006672C4" w:rsidP="002F0C0D">
      <w:pPr>
        <w:pStyle w:val="ListParagraph"/>
        <w:numPr>
          <w:ilvl w:val="0"/>
          <w:numId w:val="1"/>
        </w:numPr>
        <w:spacing w:after="120"/>
        <w:ind w:left="714" w:hanging="357"/>
        <w:rPr>
          <w:rFonts w:ascii="Calibri" w:hAnsi="Calibri" w:cs="Calibri"/>
          <w:color w:val="4472C4" w:themeColor="accent1"/>
        </w:rPr>
      </w:pPr>
      <w:r w:rsidRPr="006672C4">
        <w:rPr>
          <w:rFonts w:ascii="Calibri" w:hAnsi="Calibri" w:cs="Calibri"/>
          <w:color w:val="4472C4" w:themeColor="accent1"/>
        </w:rPr>
        <w:t>Staff practice that supports healthy lifestyles and access</w:t>
      </w:r>
      <w:r w:rsidR="00DE719B">
        <w:rPr>
          <w:rFonts w:ascii="Calibri" w:hAnsi="Calibri" w:cs="Calibri"/>
          <w:color w:val="4472C4" w:themeColor="accent1"/>
        </w:rPr>
        <w:t xml:space="preserve"> to</w:t>
      </w:r>
      <w:r w:rsidRPr="006672C4">
        <w:rPr>
          <w:rFonts w:ascii="Calibri" w:hAnsi="Calibri" w:cs="Calibri"/>
          <w:color w:val="4472C4" w:themeColor="accent1"/>
        </w:rPr>
        <w:t xml:space="preserve"> health care </w:t>
      </w:r>
    </w:p>
    <w:p w14:paraId="0AA20749" w14:textId="77777777" w:rsidR="006672C4" w:rsidRPr="006672C4" w:rsidRDefault="006672C4" w:rsidP="002F0C0D">
      <w:pPr>
        <w:pStyle w:val="ListParagraph"/>
        <w:numPr>
          <w:ilvl w:val="0"/>
          <w:numId w:val="1"/>
        </w:numPr>
        <w:spacing w:after="120"/>
        <w:ind w:left="714" w:hanging="357"/>
        <w:rPr>
          <w:rFonts w:ascii="Calibri" w:hAnsi="Calibri" w:cs="Calibri"/>
          <w:color w:val="4472C4" w:themeColor="accent1"/>
        </w:rPr>
      </w:pPr>
      <w:r w:rsidRPr="006672C4">
        <w:rPr>
          <w:rFonts w:ascii="Calibri" w:hAnsi="Calibri" w:cs="Calibri"/>
          <w:color w:val="4472C4" w:themeColor="accent1"/>
        </w:rPr>
        <w:t xml:space="preserve">Staff practice with families </w:t>
      </w:r>
    </w:p>
    <w:p w14:paraId="04FE287B" w14:textId="77777777" w:rsidR="006672C4" w:rsidRPr="006672C4" w:rsidRDefault="006672C4" w:rsidP="002F0C0D">
      <w:pPr>
        <w:pStyle w:val="ListParagraph"/>
        <w:numPr>
          <w:ilvl w:val="0"/>
          <w:numId w:val="1"/>
        </w:numPr>
        <w:spacing w:after="120"/>
        <w:ind w:left="714" w:hanging="357"/>
        <w:rPr>
          <w:rFonts w:ascii="Calibri" w:hAnsi="Calibri" w:cs="Calibri"/>
          <w:color w:val="4472C4" w:themeColor="accent1"/>
        </w:rPr>
      </w:pPr>
      <w:r w:rsidRPr="006672C4">
        <w:rPr>
          <w:rFonts w:ascii="Calibri" w:hAnsi="Calibri" w:cs="Calibri"/>
          <w:color w:val="4472C4" w:themeColor="accent1"/>
        </w:rPr>
        <w:t xml:space="preserve">Gaining the perspectives of people who live in group homes </w:t>
      </w:r>
    </w:p>
    <w:p w14:paraId="2563A990" w14:textId="77777777" w:rsidR="006672C4" w:rsidRPr="006672C4" w:rsidRDefault="006672C4" w:rsidP="002F0C0D">
      <w:pPr>
        <w:pStyle w:val="ListParagraph"/>
        <w:numPr>
          <w:ilvl w:val="0"/>
          <w:numId w:val="1"/>
        </w:numPr>
        <w:spacing w:after="120"/>
        <w:ind w:left="714" w:hanging="357"/>
        <w:rPr>
          <w:rFonts w:ascii="Calibri" w:hAnsi="Calibri" w:cs="Calibri"/>
          <w:color w:val="4472C4" w:themeColor="accent1"/>
        </w:rPr>
      </w:pPr>
      <w:r w:rsidRPr="006672C4">
        <w:rPr>
          <w:rFonts w:ascii="Calibri" w:hAnsi="Calibri" w:cs="Calibri"/>
          <w:color w:val="4472C4" w:themeColor="accent1"/>
        </w:rPr>
        <w:t xml:space="preserve">Staff practice enabled by Frontline Practice Leadership </w:t>
      </w:r>
    </w:p>
    <w:p w14:paraId="7B6CB999" w14:textId="77777777" w:rsidR="006672C4" w:rsidRPr="006672C4" w:rsidRDefault="006672C4" w:rsidP="002F0C0D">
      <w:pPr>
        <w:pStyle w:val="ListParagraph"/>
        <w:numPr>
          <w:ilvl w:val="0"/>
          <w:numId w:val="1"/>
        </w:numPr>
        <w:spacing w:after="120"/>
        <w:ind w:left="714" w:hanging="357"/>
        <w:rPr>
          <w:rFonts w:ascii="Calibri" w:hAnsi="Calibri" w:cs="Calibri"/>
          <w:color w:val="4472C4" w:themeColor="accent1"/>
        </w:rPr>
      </w:pPr>
      <w:r w:rsidRPr="006672C4">
        <w:rPr>
          <w:rFonts w:ascii="Calibri" w:hAnsi="Calibri" w:cs="Calibri"/>
          <w:color w:val="4472C4" w:themeColor="accent1"/>
        </w:rPr>
        <w:t xml:space="preserve">Managerial practices that support access to specialist interventions and other forms of additional support. </w:t>
      </w:r>
    </w:p>
    <w:p w14:paraId="15191CF1" w14:textId="77777777" w:rsidR="006672C4" w:rsidRPr="006672C4" w:rsidRDefault="006672C4" w:rsidP="002F0C0D">
      <w:pPr>
        <w:pStyle w:val="ListParagraph"/>
        <w:numPr>
          <w:ilvl w:val="0"/>
          <w:numId w:val="1"/>
        </w:numPr>
        <w:spacing w:after="120"/>
        <w:ind w:left="714" w:hanging="357"/>
        <w:rPr>
          <w:rFonts w:ascii="Calibri" w:hAnsi="Calibri" w:cs="Calibri"/>
          <w:color w:val="4472C4" w:themeColor="accent1"/>
        </w:rPr>
      </w:pPr>
      <w:r w:rsidRPr="006672C4">
        <w:rPr>
          <w:rFonts w:ascii="Calibri" w:hAnsi="Calibri" w:cs="Calibri"/>
          <w:color w:val="4472C4" w:themeColor="accent1"/>
        </w:rPr>
        <w:t xml:space="preserve">Managerial practices that support staff collaboration, service coordination, involvement in planning and support for decision making. </w:t>
      </w:r>
    </w:p>
    <w:p w14:paraId="3CF42A81" w14:textId="77777777" w:rsidR="004D42C6" w:rsidRDefault="004D42C6" w:rsidP="002D4973">
      <w:pPr>
        <w:spacing w:after="120"/>
      </w:pPr>
    </w:p>
    <w:p w14:paraId="7DF7BAFF" w14:textId="2E7FFAEC" w:rsidR="00DE2174" w:rsidRPr="00384D11" w:rsidRDefault="00DE2174" w:rsidP="002D4973">
      <w:pPr>
        <w:pStyle w:val="Heading1"/>
        <w:spacing w:before="120"/>
        <w:rPr>
          <w:b/>
          <w:bCs/>
          <w:sz w:val="28"/>
          <w:szCs w:val="28"/>
        </w:rPr>
      </w:pPr>
      <w:r w:rsidRPr="00384D11">
        <w:rPr>
          <w:b/>
          <w:bCs/>
          <w:sz w:val="28"/>
          <w:szCs w:val="28"/>
        </w:rPr>
        <w:t xml:space="preserve">Benefits of </w:t>
      </w:r>
      <w:r>
        <w:rPr>
          <w:b/>
          <w:bCs/>
          <w:sz w:val="28"/>
          <w:szCs w:val="28"/>
        </w:rPr>
        <w:t>Case Management</w:t>
      </w:r>
    </w:p>
    <w:p w14:paraId="2A9524DB" w14:textId="3D8E7B0E" w:rsidR="00BF50E7" w:rsidRDefault="00C822BA" w:rsidP="004D646F">
      <w:pPr>
        <w:spacing w:after="120"/>
        <w:rPr>
          <w:noProof/>
        </w:rPr>
      </w:pPr>
      <w:r>
        <w:rPr>
          <w:noProof/>
        </w:rPr>
        <w:t>The benefits of c</w:t>
      </w:r>
      <w:r w:rsidR="00926429">
        <w:rPr>
          <w:noProof/>
        </w:rPr>
        <w:t xml:space="preserve">ase management </w:t>
      </w:r>
      <w:r>
        <w:rPr>
          <w:noProof/>
        </w:rPr>
        <w:t xml:space="preserve">for vulnerable people is well documented. Case managers better </w:t>
      </w:r>
      <w:r w:rsidR="00E21BD1">
        <w:rPr>
          <w:noProof/>
        </w:rPr>
        <w:t xml:space="preserve">identify and </w:t>
      </w:r>
      <w:r w:rsidR="00051FF0">
        <w:rPr>
          <w:noProof/>
        </w:rPr>
        <w:t>(through improved engagement techniques and knowledge of vulnerable people)</w:t>
      </w:r>
      <w:r w:rsidR="00B34898">
        <w:rPr>
          <w:noProof/>
        </w:rPr>
        <w:t xml:space="preserve">, can devise </w:t>
      </w:r>
      <w:r w:rsidR="00E21BD1">
        <w:rPr>
          <w:noProof/>
        </w:rPr>
        <w:t>achievable plans to help meet identified needs and goals</w:t>
      </w:r>
      <w:r w:rsidR="002B0CF5">
        <w:rPr>
          <w:noProof/>
        </w:rPr>
        <w:t>, and enable clients to access the support and services they need.</w:t>
      </w:r>
    </w:p>
    <w:p w14:paraId="555A21B6" w14:textId="603424BD" w:rsidR="002B0CF5" w:rsidRDefault="003D286B" w:rsidP="004D646F">
      <w:pPr>
        <w:spacing w:after="120"/>
        <w:rPr>
          <w:noProof/>
        </w:rPr>
      </w:pPr>
      <w:r>
        <w:rPr>
          <w:noProof/>
        </w:rPr>
        <w:t xml:space="preserve">Benefits accrue not </w:t>
      </w:r>
      <w:r w:rsidR="0048419C">
        <w:rPr>
          <w:noProof/>
        </w:rPr>
        <w:t xml:space="preserve">only to the client, but more broadly to government and the </w:t>
      </w:r>
      <w:r w:rsidR="00B853C4">
        <w:rPr>
          <w:noProof/>
        </w:rPr>
        <w:t xml:space="preserve">system, as well as </w:t>
      </w:r>
      <w:r w:rsidR="0048419C">
        <w:rPr>
          <w:noProof/>
        </w:rPr>
        <w:t xml:space="preserve">service </w:t>
      </w:r>
      <w:r w:rsidR="00B853C4">
        <w:rPr>
          <w:noProof/>
        </w:rPr>
        <w:t>providers tasked with caring for the client.</w:t>
      </w:r>
    </w:p>
    <w:p w14:paraId="113021E3" w14:textId="4A22D0F6" w:rsidR="00E32FAE" w:rsidRDefault="00E32FAE" w:rsidP="004D646F">
      <w:pPr>
        <w:spacing w:after="120"/>
        <w:rPr>
          <w:noProof/>
        </w:rPr>
      </w:pPr>
      <w:r>
        <w:rPr>
          <w:noProof/>
        </w:rPr>
        <w:t>Importantly, case management will improve the quality of life for residents.</w:t>
      </w:r>
    </w:p>
    <w:p w14:paraId="6A2D43EB" w14:textId="77777777" w:rsidR="00136A2D" w:rsidRDefault="00136A2D">
      <w:pPr>
        <w:rPr>
          <w:noProof/>
        </w:rPr>
      </w:pPr>
      <w:r>
        <w:rPr>
          <w:noProof/>
        </w:rPr>
        <w:br w:type="page"/>
      </w:r>
    </w:p>
    <w:p w14:paraId="7D48D051" w14:textId="08EC3EAE" w:rsidR="00B853C4" w:rsidRDefault="00B853C4" w:rsidP="003D0EA2">
      <w:pPr>
        <w:spacing w:after="120"/>
        <w:rPr>
          <w:noProof/>
        </w:rPr>
      </w:pPr>
      <w:r>
        <w:rPr>
          <w:noProof/>
        </w:rPr>
        <w:lastRenderedPageBreak/>
        <w:t xml:space="preserve">For supported accommodation, </w:t>
      </w:r>
      <w:r w:rsidR="00A30C7B">
        <w:rPr>
          <w:noProof/>
        </w:rPr>
        <w:t>key benefits include:</w:t>
      </w:r>
    </w:p>
    <w:p w14:paraId="5B22660F" w14:textId="325E3181" w:rsidR="00A30C7B" w:rsidRDefault="00A30C7B" w:rsidP="000B07B8">
      <w:pPr>
        <w:spacing w:after="120"/>
        <w:jc w:val="center"/>
        <w:rPr>
          <w:noProof/>
        </w:rPr>
      </w:pPr>
      <w:r w:rsidRPr="001B6378">
        <w:rPr>
          <w:noProof/>
        </w:rPr>
        <w:drawing>
          <wp:inline distT="0" distB="0" distL="0" distR="0" wp14:anchorId="629DF329" wp14:editId="18C196BA">
            <wp:extent cx="5590309" cy="3369793"/>
            <wp:effectExtent l="0" t="0" r="0" b="2540"/>
            <wp:docPr id="46861211" name="Picture 1" descr="A white and blue chart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1211" name="Picture 1" descr="A white and blue chart with blue text&#10;&#10;AI-generated content may be incorrect."/>
                    <pic:cNvPicPr/>
                  </pic:nvPicPr>
                  <pic:blipFill>
                    <a:blip r:embed="rId17"/>
                    <a:stretch>
                      <a:fillRect/>
                    </a:stretch>
                  </pic:blipFill>
                  <pic:spPr>
                    <a:xfrm>
                      <a:off x="0" y="0"/>
                      <a:ext cx="5607078" cy="3379901"/>
                    </a:xfrm>
                    <a:prstGeom prst="rect">
                      <a:avLst/>
                    </a:prstGeom>
                  </pic:spPr>
                </pic:pic>
              </a:graphicData>
            </a:graphic>
          </wp:inline>
        </w:drawing>
      </w:r>
    </w:p>
    <w:p w14:paraId="04CB6F72" w14:textId="77777777" w:rsidR="000877F3" w:rsidRDefault="000877F3" w:rsidP="00642C26">
      <w:pPr>
        <w:spacing w:after="120"/>
        <w:rPr>
          <w:noProof/>
        </w:rPr>
      </w:pPr>
    </w:p>
    <w:p w14:paraId="1D480F01" w14:textId="6997EF7D" w:rsidR="00A30C7B" w:rsidRDefault="006377B7" w:rsidP="00642C26">
      <w:pPr>
        <w:spacing w:after="120"/>
        <w:rPr>
          <w:noProof/>
        </w:rPr>
      </w:pPr>
      <w:r>
        <w:rPr>
          <w:noProof/>
        </w:rPr>
        <w:t xml:space="preserve">Case managers will assist with effective transition of residents into and out of supported accommodation. Improvements at inward transition </w:t>
      </w:r>
      <w:r w:rsidR="00B91914">
        <w:rPr>
          <w:noProof/>
        </w:rPr>
        <w:t>mean that potential residents can be safely discharged from health facilities</w:t>
      </w:r>
      <w:r w:rsidR="00AD087B">
        <w:rPr>
          <w:noProof/>
        </w:rPr>
        <w:t xml:space="preserve"> earlier</w:t>
      </w:r>
      <w:r w:rsidR="00B91914">
        <w:rPr>
          <w:noProof/>
        </w:rPr>
        <w:t xml:space="preserve">, and less likely to experience escalated behaviours early in their residence. </w:t>
      </w:r>
      <w:r w:rsidR="006354CE">
        <w:rPr>
          <w:noProof/>
        </w:rPr>
        <w:t>Case managers can build the skills and confidence of residents to move into independent housing if they choose, and provide post-transition support where needed to prevent re-entry to transitional housing or homelessness.</w:t>
      </w:r>
    </w:p>
    <w:p w14:paraId="236811F3" w14:textId="5B47FC38" w:rsidR="00521B0E" w:rsidRDefault="00521B0E" w:rsidP="00642C26">
      <w:pPr>
        <w:spacing w:after="120"/>
      </w:pPr>
      <w:r>
        <w:t xml:space="preserve">Residents will be able to </w:t>
      </w:r>
      <w:r w:rsidR="004F5A8F">
        <w:t>be supported to apply for NDIS</w:t>
      </w:r>
      <w:r w:rsidR="00E52CA7">
        <w:t xml:space="preserve"> (only 68</w:t>
      </w:r>
      <w:r w:rsidR="00FC4E33">
        <w:t xml:space="preserve"> per cent</w:t>
      </w:r>
      <w:r w:rsidR="00E52CA7">
        <w:t xml:space="preserve"> of residents have NDIS funding despite 92</w:t>
      </w:r>
      <w:r w:rsidR="00FC4E33">
        <w:t xml:space="preserve"> per cent</w:t>
      </w:r>
      <w:r w:rsidR="00E52CA7">
        <w:t xml:space="preserve"> receiving </w:t>
      </w:r>
      <w:r w:rsidR="00C65A64">
        <w:t xml:space="preserve">a </w:t>
      </w:r>
      <w:r w:rsidR="00E52CA7">
        <w:t>DSP)</w:t>
      </w:r>
      <w:r w:rsidR="004F5A8F">
        <w:t xml:space="preserve"> and My Aged Care and </w:t>
      </w:r>
      <w:r>
        <w:t xml:space="preserve">access a wider range of free and accessible services, from specialist health and wellbeing through to </w:t>
      </w:r>
      <w:r w:rsidR="0031532D">
        <w:t>social, recreational and educational activities.</w:t>
      </w:r>
      <w:r w:rsidR="00E52CA7">
        <w:t xml:space="preserve"> </w:t>
      </w:r>
      <w:r w:rsidR="0031532D">
        <w:t xml:space="preserve">Importantly, residents can be supported </w:t>
      </w:r>
      <w:r w:rsidR="00C60C5B">
        <w:t>to access preventative health and dental services.</w:t>
      </w:r>
    </w:p>
    <w:p w14:paraId="2AE8E422" w14:textId="2AABFF26" w:rsidR="00021512" w:rsidRDefault="00021512" w:rsidP="00642C26">
      <w:pPr>
        <w:spacing w:after="120"/>
      </w:pPr>
      <w:r>
        <w:t>Where a resident’s situation can be stabilised and routines established, they may be able to pursue supported employment opportunities – increasing their wellbeing and increasing their income.</w:t>
      </w:r>
    </w:p>
    <w:p w14:paraId="22075B42" w14:textId="6ABE56CD" w:rsidR="00B82358" w:rsidRDefault="00C60C5B" w:rsidP="00642C26">
      <w:pPr>
        <w:spacing w:after="120"/>
        <w:rPr>
          <w:noProof/>
        </w:rPr>
      </w:pPr>
      <w:r>
        <w:rPr>
          <w:noProof/>
        </w:rPr>
        <w:t xml:space="preserve">For </w:t>
      </w:r>
      <w:r w:rsidR="002748EB">
        <w:rPr>
          <w:noProof/>
        </w:rPr>
        <w:t xml:space="preserve">supported accommodation </w:t>
      </w:r>
      <w:r>
        <w:rPr>
          <w:noProof/>
        </w:rPr>
        <w:t xml:space="preserve">providers, </w:t>
      </w:r>
      <w:r w:rsidR="002748EB">
        <w:rPr>
          <w:noProof/>
        </w:rPr>
        <w:t xml:space="preserve">they will be able to increase the density of their facilities with reduced behavioual and other resident issues. Many faciliites </w:t>
      </w:r>
      <w:r w:rsidR="001B3959">
        <w:rPr>
          <w:noProof/>
        </w:rPr>
        <w:t xml:space="preserve">do not run at 100 per cent capacity due to increased risk of </w:t>
      </w:r>
      <w:r w:rsidR="000B07B8">
        <w:rPr>
          <w:noProof/>
        </w:rPr>
        <w:t>incidents.</w:t>
      </w:r>
      <w:r w:rsidR="00A80037">
        <w:rPr>
          <w:noProof/>
        </w:rPr>
        <w:t xml:space="preserve"> </w:t>
      </w:r>
    </w:p>
    <w:p w14:paraId="2314E43F" w14:textId="77777777" w:rsidR="00B82358" w:rsidRDefault="00B82358">
      <w:pPr>
        <w:rPr>
          <w:noProof/>
        </w:rPr>
      </w:pPr>
      <w:r>
        <w:rPr>
          <w:noProof/>
        </w:rPr>
        <w:br w:type="page"/>
      </w:r>
    </w:p>
    <w:p w14:paraId="66D14F60" w14:textId="0F952BF5" w:rsidR="0091480E" w:rsidRPr="0091480E" w:rsidRDefault="00C45A71" w:rsidP="0091480E">
      <w:pPr>
        <w:pStyle w:val="Heading1"/>
        <w:rPr>
          <w:b/>
          <w:bCs/>
        </w:rPr>
      </w:pPr>
      <w:r>
        <w:rPr>
          <w:b/>
          <w:bCs/>
        </w:rPr>
        <w:lastRenderedPageBreak/>
        <w:t xml:space="preserve">Costs of </w:t>
      </w:r>
      <w:r w:rsidR="0091480E" w:rsidRPr="0091480E">
        <w:rPr>
          <w:b/>
          <w:bCs/>
        </w:rPr>
        <w:t>Case Management</w:t>
      </w:r>
      <w:r>
        <w:rPr>
          <w:b/>
          <w:bCs/>
        </w:rPr>
        <w:t xml:space="preserve"> – Two Proposed Models</w:t>
      </w:r>
    </w:p>
    <w:p w14:paraId="0D8E5649" w14:textId="77777777" w:rsidR="00B021FE" w:rsidRDefault="00B021FE" w:rsidP="007D2155">
      <w:pPr>
        <w:spacing w:after="120"/>
      </w:pPr>
      <w:r>
        <w:t xml:space="preserve">SAPA has proposed a model to introduce case management tied to a standard per-resident subsidy. Referred to as the </w:t>
      </w:r>
      <w:r w:rsidRPr="008D230D">
        <w:rPr>
          <w:i/>
          <w:iCs/>
        </w:rPr>
        <w:t>SAPA Case Manager and Viability Subsidy Model</w:t>
      </w:r>
      <w:r w:rsidRPr="008D230D">
        <w:t xml:space="preserve"> </w:t>
      </w:r>
      <w:r>
        <w:t>it will bring a limited case management model and also help to support the viability of facilities and stem the flow of closures.</w:t>
      </w:r>
    </w:p>
    <w:p w14:paraId="2890F7BA" w14:textId="77777777" w:rsidR="00B021FE" w:rsidRDefault="00B021FE" w:rsidP="007D2155">
      <w:pPr>
        <w:spacing w:after="120"/>
      </w:pPr>
      <w:r>
        <w:t xml:space="preserve">A second model is presented focused on supporting residents with an intensive case management model. Referred to as the </w:t>
      </w:r>
      <w:r w:rsidRPr="008D230D">
        <w:rPr>
          <w:i/>
          <w:iCs/>
        </w:rPr>
        <w:t>Case Manager and Support Workers Model</w:t>
      </w:r>
      <w:r>
        <w:t xml:space="preserve"> it incorporates a mix of case managers and qualified support workers and while not having a viability focus it will help improve viability of the sector.</w:t>
      </w:r>
    </w:p>
    <w:p w14:paraId="36795209" w14:textId="4CE3D182" w:rsidR="00F6616D" w:rsidRDefault="00F6616D" w:rsidP="00F6616D">
      <w:pPr>
        <w:spacing w:before="120" w:after="120"/>
      </w:pPr>
      <w:r>
        <w:t xml:space="preserve">Due to the size of the facilities, resources from the second model could be shared across some facilities. For the purposes of the costings in this report, it is assumed that the 34 remaining facilities would be considered as a total of 29 facilities. See proposed groupings at </w:t>
      </w:r>
      <w:r w:rsidRPr="007203E5">
        <w:rPr>
          <w:u w:val="single"/>
        </w:rPr>
        <w:t>Appendix 1</w:t>
      </w:r>
      <w:r w:rsidRPr="007203E5">
        <w:t>.</w:t>
      </w:r>
    </w:p>
    <w:p w14:paraId="6D41DAC6" w14:textId="77777777" w:rsidR="004030FF" w:rsidRDefault="004030FF" w:rsidP="00272724">
      <w:pPr>
        <w:spacing w:before="120" w:after="120"/>
      </w:pPr>
    </w:p>
    <w:tbl>
      <w:tblPr>
        <w:tblStyle w:val="GridTable1Light-Accent1"/>
        <w:tblW w:w="0" w:type="auto"/>
        <w:tblLook w:val="04A0" w:firstRow="1" w:lastRow="0" w:firstColumn="1" w:lastColumn="0" w:noHBand="0" w:noVBand="1"/>
      </w:tblPr>
      <w:tblGrid>
        <w:gridCol w:w="1555"/>
        <w:gridCol w:w="3260"/>
        <w:gridCol w:w="4790"/>
      </w:tblGrid>
      <w:tr w:rsidR="00720F88" w14:paraId="5C566A94" w14:textId="77777777" w:rsidTr="00557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AA668F6" w14:textId="77D24E46" w:rsidR="00720F88" w:rsidRDefault="00720F88" w:rsidP="00E63E2A">
            <w:pPr>
              <w:spacing w:after="120"/>
            </w:pPr>
            <w:r>
              <w:t>Model</w:t>
            </w:r>
          </w:p>
        </w:tc>
        <w:tc>
          <w:tcPr>
            <w:tcW w:w="3260" w:type="dxa"/>
          </w:tcPr>
          <w:p w14:paraId="5B62D1AB" w14:textId="0FC133A8" w:rsidR="00720F88" w:rsidRDefault="00135189" w:rsidP="00E63E2A">
            <w:pPr>
              <w:spacing w:after="120"/>
              <w:cnfStyle w:val="100000000000" w:firstRow="1" w:lastRow="0" w:firstColumn="0" w:lastColumn="0" w:oddVBand="0" w:evenVBand="0" w:oddHBand="0" w:evenHBand="0" w:firstRowFirstColumn="0" w:firstRowLastColumn="0" w:lastRowFirstColumn="0" w:lastRowLastColumn="0"/>
            </w:pPr>
            <w:r>
              <w:t>Case Manager and Viability Subsidy</w:t>
            </w:r>
          </w:p>
        </w:tc>
        <w:tc>
          <w:tcPr>
            <w:tcW w:w="4790" w:type="dxa"/>
          </w:tcPr>
          <w:p w14:paraId="1D157C83" w14:textId="58F8155D" w:rsidR="00720F88" w:rsidRDefault="00720F88" w:rsidP="00E63E2A">
            <w:pPr>
              <w:spacing w:after="120"/>
              <w:cnfStyle w:val="100000000000" w:firstRow="1" w:lastRow="0" w:firstColumn="0" w:lastColumn="0" w:oddVBand="0" w:evenVBand="0" w:oddHBand="0" w:evenHBand="0" w:firstRowFirstColumn="0" w:firstRowLastColumn="0" w:lastRowFirstColumn="0" w:lastRowLastColumn="0"/>
            </w:pPr>
            <w:r>
              <w:t>Case Manager and Support Workers</w:t>
            </w:r>
          </w:p>
        </w:tc>
      </w:tr>
      <w:tr w:rsidR="00720F88" w:rsidRPr="001C48E0" w14:paraId="0F9132B0" w14:textId="77777777" w:rsidTr="00557B32">
        <w:tc>
          <w:tcPr>
            <w:cnfStyle w:val="001000000000" w:firstRow="0" w:lastRow="0" w:firstColumn="1" w:lastColumn="0" w:oddVBand="0" w:evenVBand="0" w:oddHBand="0" w:evenHBand="0" w:firstRowFirstColumn="0" w:firstRowLastColumn="0" w:lastRowFirstColumn="0" w:lastRowLastColumn="0"/>
            <w:tcW w:w="1555" w:type="dxa"/>
          </w:tcPr>
          <w:p w14:paraId="7A43AA6C" w14:textId="7B7319F8" w:rsidR="00720F88" w:rsidRPr="001C48E0" w:rsidRDefault="00266AA5" w:rsidP="00E63E2A">
            <w:pPr>
              <w:spacing w:after="120"/>
              <w:rPr>
                <w:rFonts w:cstheme="minorHAnsi"/>
              </w:rPr>
            </w:pPr>
            <w:r w:rsidRPr="001C48E0">
              <w:rPr>
                <w:rFonts w:cstheme="minorHAnsi"/>
              </w:rPr>
              <w:t>Staffing</w:t>
            </w:r>
          </w:p>
        </w:tc>
        <w:tc>
          <w:tcPr>
            <w:tcW w:w="3260" w:type="dxa"/>
          </w:tcPr>
          <w:p w14:paraId="41C231FB" w14:textId="34F40455" w:rsidR="00720F88" w:rsidRPr="001C48E0" w:rsidRDefault="00266AA5" w:rsidP="00E63E2A">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C48E0">
              <w:rPr>
                <w:rFonts w:cstheme="minorHAnsi"/>
              </w:rPr>
              <w:t>Case Managers (</w:t>
            </w:r>
            <w:r w:rsidR="00AD13F2">
              <w:rPr>
                <w:rFonts w:cstheme="minorHAnsi"/>
              </w:rPr>
              <w:t>various</w:t>
            </w:r>
            <w:r w:rsidRPr="001C48E0">
              <w:rPr>
                <w:rFonts w:cstheme="minorHAnsi"/>
              </w:rPr>
              <w:t>)</w:t>
            </w:r>
          </w:p>
        </w:tc>
        <w:tc>
          <w:tcPr>
            <w:tcW w:w="4790" w:type="dxa"/>
          </w:tcPr>
          <w:p w14:paraId="3389E3ED" w14:textId="08B6D088" w:rsidR="00D242A2" w:rsidRPr="001C48E0" w:rsidRDefault="00FC4E33" w:rsidP="002F0C0D">
            <w:pPr>
              <w:pStyle w:val="ListParagraph"/>
              <w:numPr>
                <w:ilvl w:val="0"/>
                <w:numId w:val="6"/>
              </w:numPr>
              <w:spacing w:after="120"/>
              <w:ind w:left="260" w:hanging="21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kern w:val="2"/>
                <w14:ligatures w14:val="standardContextual"/>
              </w:rPr>
              <w:t>One</w:t>
            </w:r>
            <w:r w:rsidR="00266AA5" w:rsidRPr="001C48E0">
              <w:rPr>
                <w:rFonts w:asciiTheme="minorHAnsi" w:hAnsiTheme="minorHAnsi" w:cstheme="minorHAnsi"/>
                <w:kern w:val="2"/>
                <w14:ligatures w14:val="standardContextual"/>
              </w:rPr>
              <w:t xml:space="preserve"> x Case Manager (S</w:t>
            </w:r>
            <w:r>
              <w:rPr>
                <w:rFonts w:asciiTheme="minorHAnsi" w:hAnsiTheme="minorHAnsi" w:cstheme="minorHAnsi"/>
                <w:kern w:val="2"/>
                <w14:ligatures w14:val="standardContextual"/>
              </w:rPr>
              <w:t>ocial, Community, Home Care and Disability Services (S</w:t>
            </w:r>
            <w:r w:rsidR="00266AA5" w:rsidRPr="001C48E0">
              <w:rPr>
                <w:rFonts w:asciiTheme="minorHAnsi" w:hAnsiTheme="minorHAnsi" w:cstheme="minorHAnsi"/>
                <w:kern w:val="2"/>
                <w14:ligatures w14:val="standardContextual"/>
              </w:rPr>
              <w:t>CHADS</w:t>
            </w:r>
            <w:r>
              <w:rPr>
                <w:rFonts w:asciiTheme="minorHAnsi" w:hAnsiTheme="minorHAnsi" w:cstheme="minorHAnsi"/>
                <w:kern w:val="2"/>
                <w14:ligatures w14:val="standardContextual"/>
              </w:rPr>
              <w:t>)</w:t>
            </w:r>
            <w:r w:rsidR="00266AA5" w:rsidRPr="001C48E0">
              <w:rPr>
                <w:rFonts w:asciiTheme="minorHAnsi" w:hAnsiTheme="minorHAnsi" w:cstheme="minorHAnsi"/>
                <w:kern w:val="2"/>
                <w14:ligatures w14:val="standardContextual"/>
              </w:rPr>
              <w:t xml:space="preserve"> 5)</w:t>
            </w:r>
            <w:r>
              <w:rPr>
                <w:rFonts w:asciiTheme="minorHAnsi" w:hAnsiTheme="minorHAnsi" w:cstheme="minorHAnsi"/>
                <w:kern w:val="2"/>
                <w14:ligatures w14:val="standardContextual"/>
              </w:rPr>
              <w:t>.</w:t>
            </w:r>
          </w:p>
          <w:p w14:paraId="39BEED5E" w14:textId="686AB37E" w:rsidR="00D242A2" w:rsidRPr="001C48E0" w:rsidRDefault="00FC4E33" w:rsidP="002F0C0D">
            <w:pPr>
              <w:pStyle w:val="ListParagraph"/>
              <w:numPr>
                <w:ilvl w:val="0"/>
                <w:numId w:val="6"/>
              </w:numPr>
              <w:spacing w:after="120"/>
              <w:ind w:left="260" w:hanging="21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kern w:val="2"/>
                <w14:ligatures w14:val="standardContextual"/>
              </w:rPr>
              <w:t>Two</w:t>
            </w:r>
            <w:r w:rsidR="00266AA5" w:rsidRPr="001C48E0">
              <w:rPr>
                <w:rFonts w:asciiTheme="minorHAnsi" w:hAnsiTheme="minorHAnsi" w:cstheme="minorHAnsi"/>
                <w:kern w:val="2"/>
                <w14:ligatures w14:val="standardContextual"/>
              </w:rPr>
              <w:t xml:space="preserve"> </w:t>
            </w:r>
            <w:r w:rsidR="006216D0" w:rsidRPr="001C48E0">
              <w:rPr>
                <w:rFonts w:asciiTheme="minorHAnsi" w:hAnsiTheme="minorHAnsi" w:cstheme="minorHAnsi"/>
                <w:kern w:val="2"/>
                <w14:ligatures w14:val="standardContextual"/>
              </w:rPr>
              <w:t xml:space="preserve">shifts of </w:t>
            </w:r>
            <w:r>
              <w:rPr>
                <w:rFonts w:asciiTheme="minorHAnsi" w:hAnsiTheme="minorHAnsi" w:cstheme="minorHAnsi"/>
                <w:kern w:val="2"/>
                <w14:ligatures w14:val="standardContextual"/>
              </w:rPr>
              <w:t>two</w:t>
            </w:r>
            <w:r w:rsidR="006216D0" w:rsidRPr="001C48E0">
              <w:rPr>
                <w:rFonts w:asciiTheme="minorHAnsi" w:hAnsiTheme="minorHAnsi" w:cstheme="minorHAnsi"/>
                <w:kern w:val="2"/>
                <w14:ligatures w14:val="standardContextual"/>
              </w:rPr>
              <w:t xml:space="preserve"> </w:t>
            </w:r>
            <w:r w:rsidR="00266AA5" w:rsidRPr="001C48E0">
              <w:rPr>
                <w:rFonts w:asciiTheme="minorHAnsi" w:hAnsiTheme="minorHAnsi" w:cstheme="minorHAnsi"/>
                <w:kern w:val="2"/>
                <w14:ligatures w14:val="standardContextual"/>
              </w:rPr>
              <w:t>x Support Workers</w:t>
            </w:r>
            <w:r w:rsidR="006216D0" w:rsidRPr="001C48E0">
              <w:rPr>
                <w:rFonts w:asciiTheme="minorHAnsi" w:hAnsiTheme="minorHAnsi" w:cstheme="minorHAnsi"/>
                <w:kern w:val="2"/>
                <w14:ligatures w14:val="standardContextual"/>
              </w:rPr>
              <w:t xml:space="preserve"> (SCHADS 2/3)</w:t>
            </w:r>
            <w:r>
              <w:rPr>
                <w:rFonts w:asciiTheme="minorHAnsi" w:hAnsiTheme="minorHAnsi" w:cstheme="minorHAnsi"/>
                <w:kern w:val="2"/>
                <w14:ligatures w14:val="standardContextual"/>
              </w:rPr>
              <w:t>.</w:t>
            </w:r>
          </w:p>
          <w:p w14:paraId="04A7BF9C" w14:textId="6074CA8E" w:rsidR="006216D0" w:rsidRDefault="00FC4E33" w:rsidP="002F0C0D">
            <w:pPr>
              <w:pStyle w:val="ListParagraph"/>
              <w:numPr>
                <w:ilvl w:val="0"/>
                <w:numId w:val="6"/>
              </w:numPr>
              <w:spacing w:after="120"/>
              <w:ind w:left="260" w:hanging="21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14:ligatures w14:val="standardContextual"/>
              </w:rPr>
            </w:pPr>
            <w:r>
              <w:rPr>
                <w:rFonts w:asciiTheme="minorHAnsi" w:hAnsiTheme="minorHAnsi" w:cstheme="minorHAnsi"/>
                <w:kern w:val="2"/>
                <w14:ligatures w14:val="standardContextual"/>
              </w:rPr>
              <w:t>One</w:t>
            </w:r>
            <w:r w:rsidR="006216D0" w:rsidRPr="001C48E0">
              <w:rPr>
                <w:rFonts w:asciiTheme="minorHAnsi" w:hAnsiTheme="minorHAnsi" w:cstheme="minorHAnsi"/>
                <w:kern w:val="2"/>
                <w14:ligatures w14:val="standardContextual"/>
              </w:rPr>
              <w:t xml:space="preserve"> sleepover shift</w:t>
            </w:r>
            <w:r w:rsidR="00A40715" w:rsidRPr="001C48E0">
              <w:rPr>
                <w:rFonts w:asciiTheme="minorHAnsi" w:hAnsiTheme="minorHAnsi" w:cstheme="minorHAnsi"/>
                <w:kern w:val="2"/>
                <w14:ligatures w14:val="standardContextual"/>
              </w:rPr>
              <w:t xml:space="preserve"> of </w:t>
            </w:r>
            <w:r>
              <w:rPr>
                <w:rFonts w:asciiTheme="minorHAnsi" w:hAnsiTheme="minorHAnsi" w:cstheme="minorHAnsi"/>
                <w:kern w:val="2"/>
                <w14:ligatures w14:val="standardContextual"/>
              </w:rPr>
              <w:t>one</w:t>
            </w:r>
            <w:r w:rsidR="00A40715" w:rsidRPr="001C48E0">
              <w:rPr>
                <w:rFonts w:asciiTheme="minorHAnsi" w:hAnsiTheme="minorHAnsi" w:cstheme="minorHAnsi"/>
                <w:kern w:val="2"/>
                <w14:ligatures w14:val="standardContextual"/>
              </w:rPr>
              <w:t xml:space="preserve"> x Support Worker (SCHADS 2/3)</w:t>
            </w:r>
            <w:r>
              <w:rPr>
                <w:rFonts w:asciiTheme="minorHAnsi" w:hAnsiTheme="minorHAnsi" w:cstheme="minorHAnsi"/>
                <w:kern w:val="2"/>
                <w14:ligatures w14:val="standardContextual"/>
              </w:rPr>
              <w:t>.</w:t>
            </w:r>
          </w:p>
          <w:p w14:paraId="10EDD857" w14:textId="1AC9552C" w:rsidR="00400F02" w:rsidRPr="00400F02" w:rsidRDefault="00400F02" w:rsidP="00400F02">
            <w:pPr>
              <w:spacing w:after="120"/>
              <w:ind w:left="42"/>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Pr>
                <w:rFonts w:cstheme="minorHAnsi"/>
                <w:kern w:val="2"/>
                <w14:ligatures w14:val="standardContextual"/>
              </w:rPr>
              <w:t>Model 2</w:t>
            </w:r>
            <w:r w:rsidR="00A80B9F">
              <w:rPr>
                <w:rFonts w:cstheme="minorHAnsi"/>
                <w:kern w:val="2"/>
                <w14:ligatures w14:val="standardContextual"/>
              </w:rPr>
              <w:t>a</w:t>
            </w:r>
            <w:r w:rsidR="001A40F9">
              <w:rPr>
                <w:rFonts w:cstheme="minorHAnsi"/>
                <w:kern w:val="2"/>
                <w14:ligatures w14:val="standardContextual"/>
              </w:rPr>
              <w:t>: additional daytime support workers for larger facilities.</w:t>
            </w:r>
          </w:p>
        </w:tc>
      </w:tr>
      <w:tr w:rsidR="00720F88" w:rsidRPr="001C48E0" w14:paraId="6840A685" w14:textId="77777777" w:rsidTr="00557B32">
        <w:tc>
          <w:tcPr>
            <w:cnfStyle w:val="001000000000" w:firstRow="0" w:lastRow="0" w:firstColumn="1" w:lastColumn="0" w:oddVBand="0" w:evenVBand="0" w:oddHBand="0" w:evenHBand="0" w:firstRowFirstColumn="0" w:firstRowLastColumn="0" w:lastRowFirstColumn="0" w:lastRowLastColumn="0"/>
            <w:tcW w:w="1555" w:type="dxa"/>
          </w:tcPr>
          <w:p w14:paraId="50523C70" w14:textId="541905E9" w:rsidR="00720F88" w:rsidRPr="001C48E0" w:rsidRDefault="00920DE6" w:rsidP="00E63E2A">
            <w:pPr>
              <w:spacing w:after="120"/>
              <w:rPr>
                <w:rFonts w:cstheme="minorHAnsi"/>
              </w:rPr>
            </w:pPr>
            <w:r w:rsidRPr="001C48E0">
              <w:rPr>
                <w:rFonts w:cstheme="minorHAnsi"/>
              </w:rPr>
              <w:t>Caseload</w:t>
            </w:r>
          </w:p>
        </w:tc>
        <w:tc>
          <w:tcPr>
            <w:tcW w:w="3260" w:type="dxa"/>
          </w:tcPr>
          <w:p w14:paraId="643C0BE2" w14:textId="7FF4B22A" w:rsidR="00720F88" w:rsidRPr="001C48E0" w:rsidRDefault="00B05D6B" w:rsidP="00E63E2A">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Average </w:t>
            </w:r>
            <w:r w:rsidR="00291C11">
              <w:rPr>
                <w:rFonts w:cstheme="minorHAnsi"/>
              </w:rPr>
              <w:t>35</w:t>
            </w:r>
            <w:r w:rsidR="005B67A0" w:rsidRPr="001C48E0">
              <w:rPr>
                <w:rFonts w:cstheme="minorHAnsi"/>
              </w:rPr>
              <w:t xml:space="preserve"> </w:t>
            </w:r>
            <w:r w:rsidR="00C56F6D" w:rsidRPr="001C48E0">
              <w:rPr>
                <w:rFonts w:cstheme="minorHAnsi"/>
              </w:rPr>
              <w:t xml:space="preserve">residents </w:t>
            </w:r>
            <w:r w:rsidR="00291C11">
              <w:rPr>
                <w:rFonts w:cstheme="minorHAnsi"/>
              </w:rPr>
              <w:br/>
            </w:r>
            <w:r w:rsidR="00C56F6D" w:rsidRPr="001C48E0">
              <w:rPr>
                <w:rFonts w:cstheme="minorHAnsi"/>
              </w:rPr>
              <w:t>(</w:t>
            </w:r>
            <w:r w:rsidR="00291C11">
              <w:rPr>
                <w:rFonts w:cstheme="minorHAnsi"/>
              </w:rPr>
              <w:t xml:space="preserve">range from 15 to 40 </w:t>
            </w:r>
            <w:r w:rsidR="00C56F6D" w:rsidRPr="001C48E0">
              <w:rPr>
                <w:rFonts w:cstheme="minorHAnsi"/>
              </w:rPr>
              <w:t>depending on site)</w:t>
            </w:r>
          </w:p>
        </w:tc>
        <w:tc>
          <w:tcPr>
            <w:tcW w:w="4790" w:type="dxa"/>
          </w:tcPr>
          <w:p w14:paraId="52E23A40" w14:textId="7B8B84FF" w:rsidR="001C48E0" w:rsidRPr="001C48E0" w:rsidRDefault="00A213C0" w:rsidP="002F0C0D">
            <w:pPr>
              <w:pStyle w:val="ListParagraph"/>
              <w:numPr>
                <w:ilvl w:val="0"/>
                <w:numId w:val="6"/>
              </w:numPr>
              <w:spacing w:after="120"/>
              <w:ind w:left="260" w:hanging="21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C48E0">
              <w:rPr>
                <w:rFonts w:asciiTheme="minorHAnsi" w:hAnsiTheme="minorHAnsi" w:cstheme="minorHAnsi"/>
                <w:kern w:val="2"/>
                <w14:ligatures w14:val="standardContextual"/>
              </w:rPr>
              <w:t xml:space="preserve">Case Manager: </w:t>
            </w:r>
            <w:r w:rsidR="00D242A2" w:rsidRPr="001C48E0">
              <w:rPr>
                <w:rFonts w:asciiTheme="minorHAnsi" w:hAnsiTheme="minorHAnsi" w:cstheme="minorHAnsi"/>
                <w:kern w:val="2"/>
                <w14:ligatures w14:val="standardContextual"/>
              </w:rPr>
              <w:t>focus only on high intensity</w:t>
            </w:r>
            <w:r w:rsidR="00D309CB">
              <w:rPr>
                <w:rFonts w:asciiTheme="minorHAnsi" w:hAnsiTheme="minorHAnsi" w:cstheme="minorHAnsi"/>
                <w:kern w:val="2"/>
                <w14:ligatures w14:val="standardContextual"/>
              </w:rPr>
              <w:t xml:space="preserve"> and provide overarching supervision</w:t>
            </w:r>
            <w:r w:rsidR="00FC4E33">
              <w:rPr>
                <w:rFonts w:asciiTheme="minorHAnsi" w:hAnsiTheme="minorHAnsi" w:cstheme="minorHAnsi"/>
                <w:kern w:val="2"/>
                <w14:ligatures w14:val="standardContextual"/>
              </w:rPr>
              <w:t>.</w:t>
            </w:r>
          </w:p>
          <w:p w14:paraId="0DF79806" w14:textId="327A1B8E" w:rsidR="00D242A2" w:rsidRDefault="00D242A2" w:rsidP="002F0C0D">
            <w:pPr>
              <w:pStyle w:val="ListParagraph"/>
              <w:numPr>
                <w:ilvl w:val="0"/>
                <w:numId w:val="6"/>
              </w:numPr>
              <w:spacing w:after="120"/>
              <w:ind w:left="260" w:hanging="21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14:ligatures w14:val="standardContextual"/>
              </w:rPr>
            </w:pPr>
            <w:r w:rsidRPr="001C48E0">
              <w:rPr>
                <w:rFonts w:asciiTheme="minorHAnsi" w:hAnsiTheme="minorHAnsi" w:cstheme="minorHAnsi"/>
                <w:kern w:val="2"/>
                <w14:ligatures w14:val="standardContextual"/>
              </w:rPr>
              <w:t>Support Workers</w:t>
            </w:r>
            <w:r w:rsidR="00F96FE4">
              <w:rPr>
                <w:rFonts w:asciiTheme="minorHAnsi" w:hAnsiTheme="minorHAnsi" w:cstheme="minorHAnsi"/>
                <w:kern w:val="2"/>
                <w14:ligatures w14:val="standardContextual"/>
              </w:rPr>
              <w:t xml:space="preserve"> – Day</w:t>
            </w:r>
            <w:r w:rsidRPr="001C48E0">
              <w:rPr>
                <w:rFonts w:asciiTheme="minorHAnsi" w:hAnsiTheme="minorHAnsi" w:cstheme="minorHAnsi"/>
                <w:kern w:val="2"/>
                <w14:ligatures w14:val="standardContextual"/>
              </w:rPr>
              <w:t xml:space="preserve">: </w:t>
            </w:r>
            <w:r w:rsidR="00871DBC">
              <w:rPr>
                <w:rFonts w:asciiTheme="minorHAnsi" w:hAnsiTheme="minorHAnsi" w:cstheme="minorHAnsi"/>
                <w:kern w:val="2"/>
                <w14:ligatures w14:val="standardContextual"/>
              </w:rPr>
              <w:t>15 to 20 residents</w:t>
            </w:r>
            <w:r w:rsidR="00FC4E33">
              <w:rPr>
                <w:rFonts w:asciiTheme="minorHAnsi" w:hAnsiTheme="minorHAnsi" w:cstheme="minorHAnsi"/>
                <w:kern w:val="2"/>
                <w14:ligatures w14:val="standardContextual"/>
              </w:rPr>
              <w:t>.</w:t>
            </w:r>
          </w:p>
          <w:p w14:paraId="7DE57EDC" w14:textId="117FE63D" w:rsidR="00400F02" w:rsidRPr="00400F02" w:rsidRDefault="00F96FE4" w:rsidP="002F0C0D">
            <w:pPr>
              <w:pStyle w:val="ListParagraph"/>
              <w:numPr>
                <w:ilvl w:val="0"/>
                <w:numId w:val="6"/>
              </w:numPr>
              <w:spacing w:after="120"/>
              <w:ind w:left="260" w:hanging="21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kern w:val="2"/>
                <w14:ligatures w14:val="standardContextual"/>
              </w:rPr>
            </w:pPr>
            <w:r>
              <w:rPr>
                <w:rFonts w:asciiTheme="minorHAnsi" w:hAnsiTheme="minorHAnsi" w:cstheme="minorHAnsi"/>
                <w:kern w:val="2"/>
                <w14:ligatures w14:val="standardContextual"/>
              </w:rPr>
              <w:t>Support Workers – overnight: up to 75 residents</w:t>
            </w:r>
            <w:r w:rsidR="00913342">
              <w:rPr>
                <w:rFonts w:asciiTheme="minorHAnsi" w:hAnsiTheme="minorHAnsi" w:cstheme="minorHAnsi"/>
                <w:kern w:val="2"/>
                <w14:ligatures w14:val="standardContextual"/>
              </w:rPr>
              <w:t xml:space="preserve"> (depending on site)</w:t>
            </w:r>
            <w:r w:rsidR="00FC4E33">
              <w:rPr>
                <w:rFonts w:asciiTheme="minorHAnsi" w:hAnsiTheme="minorHAnsi" w:cstheme="minorHAnsi"/>
                <w:kern w:val="2"/>
                <w14:ligatures w14:val="standardContextual"/>
              </w:rPr>
              <w:t>.</w:t>
            </w:r>
          </w:p>
        </w:tc>
      </w:tr>
      <w:tr w:rsidR="00A6569D" w:rsidRPr="001C48E0" w14:paraId="5F73DF6F" w14:textId="77777777" w:rsidTr="00557B32">
        <w:tc>
          <w:tcPr>
            <w:cnfStyle w:val="001000000000" w:firstRow="0" w:lastRow="0" w:firstColumn="1" w:lastColumn="0" w:oddVBand="0" w:evenVBand="0" w:oddHBand="0" w:evenHBand="0" w:firstRowFirstColumn="0" w:firstRowLastColumn="0" w:lastRowFirstColumn="0" w:lastRowLastColumn="0"/>
            <w:tcW w:w="1555" w:type="dxa"/>
          </w:tcPr>
          <w:p w14:paraId="48371BE9" w14:textId="3369FAF8" w:rsidR="00A6569D" w:rsidRPr="001C48E0" w:rsidRDefault="00A6569D" w:rsidP="00E63E2A">
            <w:pPr>
              <w:spacing w:after="120"/>
              <w:rPr>
                <w:rFonts w:cstheme="minorHAnsi"/>
              </w:rPr>
            </w:pPr>
            <w:r>
              <w:rPr>
                <w:rFonts w:cstheme="minorHAnsi"/>
              </w:rPr>
              <w:t>Total Funded FTE</w:t>
            </w:r>
          </w:p>
        </w:tc>
        <w:tc>
          <w:tcPr>
            <w:tcW w:w="3260" w:type="dxa"/>
          </w:tcPr>
          <w:p w14:paraId="05368DDE" w14:textId="0AAA3F62" w:rsidR="00DB2C6E" w:rsidRPr="001C48E0" w:rsidRDefault="00AD13F2" w:rsidP="00DB2C6E">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35</w:t>
            </w:r>
            <w:r w:rsidR="00DB2C6E">
              <w:rPr>
                <w:rFonts w:cstheme="minorHAnsi"/>
              </w:rPr>
              <w:br/>
              <w:t xml:space="preserve">(plus </w:t>
            </w:r>
            <w:r w:rsidR="00433EBC">
              <w:rPr>
                <w:rFonts w:cstheme="minorHAnsi"/>
              </w:rPr>
              <w:t xml:space="preserve">additional depending on </w:t>
            </w:r>
            <w:r w:rsidR="004558BC">
              <w:rPr>
                <w:rFonts w:cstheme="minorHAnsi"/>
              </w:rPr>
              <w:t>how operator allocates subsidy</w:t>
            </w:r>
            <w:r w:rsidR="00433EBC">
              <w:rPr>
                <w:rFonts w:cstheme="minorHAnsi"/>
              </w:rPr>
              <w:t>)</w:t>
            </w:r>
          </w:p>
        </w:tc>
        <w:tc>
          <w:tcPr>
            <w:tcW w:w="4790" w:type="dxa"/>
          </w:tcPr>
          <w:p w14:paraId="293BEEDE" w14:textId="6A8A2B54" w:rsidR="001A40F9" w:rsidRDefault="00D366F5" w:rsidP="00D366F5">
            <w:pPr>
              <w:spacing w:after="120"/>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Pr>
                <w:rFonts w:cstheme="minorHAnsi"/>
                <w:kern w:val="2"/>
                <w14:ligatures w14:val="standardContextual"/>
              </w:rPr>
              <w:t>1</w:t>
            </w:r>
            <w:r w:rsidR="00514FFE">
              <w:rPr>
                <w:rFonts w:cstheme="minorHAnsi"/>
                <w:kern w:val="2"/>
                <w14:ligatures w14:val="standardContextual"/>
              </w:rPr>
              <w:t>45</w:t>
            </w:r>
            <w:r w:rsidR="00270E0B">
              <w:rPr>
                <w:rFonts w:cstheme="minorHAnsi"/>
                <w:kern w:val="2"/>
                <w14:ligatures w14:val="standardContextual"/>
              </w:rPr>
              <w:t xml:space="preserve"> (note 116 FTE over 2 shifts</w:t>
            </w:r>
            <w:r w:rsidR="00AC658E">
              <w:rPr>
                <w:rFonts w:cstheme="minorHAnsi"/>
                <w:kern w:val="2"/>
                <w14:ligatures w14:val="standardContextual"/>
              </w:rPr>
              <w:t xml:space="preserve"> = 58 FTE per shift</w:t>
            </w:r>
            <w:r w:rsidR="00270E0B">
              <w:rPr>
                <w:rFonts w:cstheme="minorHAnsi"/>
                <w:kern w:val="2"/>
                <w14:ligatures w14:val="standardContextual"/>
              </w:rPr>
              <w:t>)</w:t>
            </w:r>
          </w:p>
          <w:p w14:paraId="18ED376C" w14:textId="2AD2B7C3" w:rsidR="00A6569D" w:rsidRPr="00D366F5" w:rsidRDefault="00D366F5" w:rsidP="00D366F5">
            <w:pPr>
              <w:spacing w:after="120"/>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Pr>
                <w:rFonts w:cstheme="minorHAnsi"/>
                <w:kern w:val="2"/>
                <w14:ligatures w14:val="standardContextual"/>
              </w:rPr>
              <w:t xml:space="preserve">Model 2a = </w:t>
            </w:r>
            <w:r w:rsidR="00631350">
              <w:rPr>
                <w:rFonts w:cstheme="minorHAnsi"/>
                <w:kern w:val="2"/>
                <w14:ligatures w14:val="standardContextual"/>
              </w:rPr>
              <w:t>1</w:t>
            </w:r>
            <w:r w:rsidR="00514FFE">
              <w:rPr>
                <w:rFonts w:cstheme="minorHAnsi"/>
                <w:kern w:val="2"/>
                <w14:ligatures w14:val="standardContextual"/>
              </w:rPr>
              <w:t>62</w:t>
            </w:r>
          </w:p>
        </w:tc>
      </w:tr>
      <w:tr w:rsidR="004036C6" w:rsidRPr="001C48E0" w14:paraId="7EB691A4" w14:textId="77777777" w:rsidTr="00557B32">
        <w:tc>
          <w:tcPr>
            <w:cnfStyle w:val="001000000000" w:firstRow="0" w:lastRow="0" w:firstColumn="1" w:lastColumn="0" w:oddVBand="0" w:evenVBand="0" w:oddHBand="0" w:evenHBand="0" w:firstRowFirstColumn="0" w:firstRowLastColumn="0" w:lastRowFirstColumn="0" w:lastRowLastColumn="0"/>
            <w:tcW w:w="1555" w:type="dxa"/>
          </w:tcPr>
          <w:p w14:paraId="70F88F55" w14:textId="1E45D8CB" w:rsidR="004036C6" w:rsidRDefault="004036C6" w:rsidP="00E63E2A">
            <w:pPr>
              <w:spacing w:after="120"/>
              <w:rPr>
                <w:rFonts w:cstheme="minorHAnsi"/>
              </w:rPr>
            </w:pPr>
            <w:r>
              <w:rPr>
                <w:rFonts w:cstheme="minorHAnsi"/>
              </w:rPr>
              <w:t>Other</w:t>
            </w:r>
          </w:p>
        </w:tc>
        <w:tc>
          <w:tcPr>
            <w:tcW w:w="3260" w:type="dxa"/>
          </w:tcPr>
          <w:p w14:paraId="0A9FA153" w14:textId="5F790F8C" w:rsidR="004036C6" w:rsidRDefault="004036C6" w:rsidP="00E63E2A">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$10,000 subsidy per resident</w:t>
            </w:r>
          </w:p>
        </w:tc>
        <w:tc>
          <w:tcPr>
            <w:tcW w:w="4790" w:type="dxa"/>
          </w:tcPr>
          <w:p w14:paraId="28FCA0EE" w14:textId="74B38A53" w:rsidR="004036C6" w:rsidRDefault="004036C6" w:rsidP="00D366F5">
            <w:pPr>
              <w:spacing w:after="120"/>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Pr>
                <w:rFonts w:cstheme="minorHAnsi"/>
                <w:kern w:val="2"/>
                <w14:ligatures w14:val="standardContextual"/>
              </w:rPr>
              <w:t>N/</w:t>
            </w:r>
            <w:r w:rsidR="00FC4E33">
              <w:rPr>
                <w:rFonts w:cstheme="minorHAnsi"/>
                <w:kern w:val="2"/>
                <w14:ligatures w14:val="standardContextual"/>
              </w:rPr>
              <w:t>A</w:t>
            </w:r>
          </w:p>
        </w:tc>
      </w:tr>
      <w:tr w:rsidR="00B478EE" w:rsidRPr="001C48E0" w14:paraId="1CF5A98E" w14:textId="77777777" w:rsidTr="00557B32">
        <w:tc>
          <w:tcPr>
            <w:cnfStyle w:val="001000000000" w:firstRow="0" w:lastRow="0" w:firstColumn="1" w:lastColumn="0" w:oddVBand="0" w:evenVBand="0" w:oddHBand="0" w:evenHBand="0" w:firstRowFirstColumn="0" w:firstRowLastColumn="0" w:lastRowFirstColumn="0" w:lastRowLastColumn="0"/>
            <w:tcW w:w="1555" w:type="dxa"/>
          </w:tcPr>
          <w:p w14:paraId="6B2C08EE" w14:textId="705E3048" w:rsidR="00B478EE" w:rsidRDefault="00B478EE" w:rsidP="00E63E2A">
            <w:pPr>
              <w:spacing w:after="120"/>
              <w:rPr>
                <w:rFonts w:cstheme="minorHAnsi"/>
              </w:rPr>
            </w:pPr>
            <w:r>
              <w:rPr>
                <w:rFonts w:cstheme="minorHAnsi"/>
              </w:rPr>
              <w:t>Total Cost</w:t>
            </w:r>
          </w:p>
        </w:tc>
        <w:tc>
          <w:tcPr>
            <w:tcW w:w="3260" w:type="dxa"/>
          </w:tcPr>
          <w:p w14:paraId="135F91D8" w14:textId="367A6D64" w:rsidR="00B478EE" w:rsidRDefault="00B478EE" w:rsidP="00E63E2A">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r w:rsidR="00B55332">
              <w:rPr>
                <w:rFonts w:cstheme="minorHAnsi"/>
              </w:rPr>
              <w:t>13.8</w:t>
            </w:r>
            <w:r>
              <w:rPr>
                <w:rFonts w:cstheme="minorHAnsi"/>
              </w:rPr>
              <w:t>M p.a.</w:t>
            </w:r>
          </w:p>
        </w:tc>
        <w:tc>
          <w:tcPr>
            <w:tcW w:w="4790" w:type="dxa"/>
          </w:tcPr>
          <w:p w14:paraId="630329A2" w14:textId="2D874B4B" w:rsidR="001A40F9" w:rsidRDefault="00B478EE" w:rsidP="00D366F5">
            <w:pPr>
              <w:spacing w:after="120"/>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Pr>
                <w:rFonts w:cstheme="minorHAnsi"/>
                <w:kern w:val="2"/>
                <w14:ligatures w14:val="standardContextual"/>
              </w:rPr>
              <w:t>$</w:t>
            </w:r>
            <w:r w:rsidR="00161AA5">
              <w:rPr>
                <w:rFonts w:cstheme="minorHAnsi"/>
                <w:kern w:val="2"/>
                <w14:ligatures w14:val="standardContextual"/>
              </w:rPr>
              <w:t>2</w:t>
            </w:r>
            <w:r w:rsidR="008A12A2">
              <w:rPr>
                <w:rFonts w:cstheme="minorHAnsi"/>
                <w:kern w:val="2"/>
                <w14:ligatures w14:val="standardContextual"/>
              </w:rPr>
              <w:t>8.</w:t>
            </w:r>
            <w:r w:rsidR="00556C47">
              <w:rPr>
                <w:rFonts w:cstheme="minorHAnsi"/>
                <w:kern w:val="2"/>
                <w14:ligatures w14:val="standardContextual"/>
              </w:rPr>
              <w:t>3</w:t>
            </w:r>
            <w:r>
              <w:rPr>
                <w:rFonts w:cstheme="minorHAnsi"/>
                <w:kern w:val="2"/>
                <w14:ligatures w14:val="standardContextual"/>
              </w:rPr>
              <w:t>M p.a</w:t>
            </w:r>
            <w:r w:rsidR="001A40F9">
              <w:rPr>
                <w:rFonts w:cstheme="minorHAnsi"/>
                <w:kern w:val="2"/>
                <w14:ligatures w14:val="standardContextual"/>
              </w:rPr>
              <w:t>.</w:t>
            </w:r>
          </w:p>
          <w:p w14:paraId="546AB6DA" w14:textId="7AE87139" w:rsidR="00B478EE" w:rsidRDefault="0094622F" w:rsidP="00D366F5">
            <w:pPr>
              <w:spacing w:after="120"/>
              <w:cnfStyle w:val="000000000000" w:firstRow="0" w:lastRow="0" w:firstColumn="0" w:lastColumn="0" w:oddVBand="0" w:evenVBand="0" w:oddHBand="0" w:evenHBand="0" w:firstRowFirstColumn="0" w:firstRowLastColumn="0" w:lastRowFirstColumn="0" w:lastRowLastColumn="0"/>
              <w:rPr>
                <w:rFonts w:cstheme="minorHAnsi"/>
                <w:kern w:val="2"/>
                <w14:ligatures w14:val="standardContextual"/>
              </w:rPr>
            </w:pPr>
            <w:r>
              <w:rPr>
                <w:rFonts w:cstheme="minorHAnsi"/>
                <w:kern w:val="2"/>
                <w14:ligatures w14:val="standardContextual"/>
              </w:rPr>
              <w:t>Model 2a = $</w:t>
            </w:r>
            <w:r w:rsidR="00161AA5">
              <w:rPr>
                <w:rFonts w:cstheme="minorHAnsi"/>
                <w:kern w:val="2"/>
                <w14:ligatures w14:val="standardContextual"/>
              </w:rPr>
              <w:t>31.</w:t>
            </w:r>
            <w:r w:rsidR="00600F74">
              <w:rPr>
                <w:rFonts w:cstheme="minorHAnsi"/>
                <w:kern w:val="2"/>
                <w14:ligatures w14:val="standardContextual"/>
              </w:rPr>
              <w:t>3</w:t>
            </w:r>
            <w:r>
              <w:rPr>
                <w:rFonts w:cstheme="minorHAnsi"/>
                <w:kern w:val="2"/>
                <w14:ligatures w14:val="standardContextual"/>
              </w:rPr>
              <w:t>M p.a.</w:t>
            </w:r>
          </w:p>
        </w:tc>
      </w:tr>
    </w:tbl>
    <w:p w14:paraId="19B9D361" w14:textId="19E982CA" w:rsidR="00FC4E33" w:rsidRPr="00FC4E33" w:rsidRDefault="00416780" w:rsidP="00E63E2A">
      <w:pPr>
        <w:spacing w:after="120"/>
        <w:rPr>
          <w:i/>
          <w:iCs/>
        </w:rPr>
      </w:pPr>
      <w:r w:rsidRPr="00772758">
        <w:rPr>
          <w:i/>
          <w:iCs/>
        </w:rPr>
        <w:t>For support workers, costings are based o</w:t>
      </w:r>
      <w:r w:rsidR="002248BE" w:rsidRPr="00772758">
        <w:rPr>
          <w:i/>
          <w:iCs/>
        </w:rPr>
        <w:t xml:space="preserve">n </w:t>
      </w:r>
      <w:r w:rsidR="00892252" w:rsidRPr="00772758">
        <w:rPr>
          <w:i/>
          <w:iCs/>
        </w:rPr>
        <w:t xml:space="preserve">each shift comprising one SCHADS 2 and one SCHADS 3 support worker. </w:t>
      </w:r>
      <w:r w:rsidR="00AF7AA3" w:rsidRPr="00772758">
        <w:rPr>
          <w:i/>
          <w:iCs/>
        </w:rPr>
        <w:t>The sleepover shift would be a SCHADS 2 level support worker.</w:t>
      </w:r>
    </w:p>
    <w:p w14:paraId="43C335C5" w14:textId="0D416299" w:rsidR="001847EE" w:rsidRPr="0059491C" w:rsidRDefault="0059281C" w:rsidP="002F0C0D">
      <w:pPr>
        <w:pStyle w:val="ListParagraph"/>
        <w:numPr>
          <w:ilvl w:val="0"/>
          <w:numId w:val="7"/>
        </w:numPr>
        <w:spacing w:after="120"/>
        <w:rPr>
          <w:b/>
          <w:bCs/>
          <w:color w:val="2F5496"/>
          <w:sz w:val="24"/>
          <w:szCs w:val="24"/>
        </w:rPr>
      </w:pPr>
      <w:r>
        <w:rPr>
          <w:b/>
          <w:bCs/>
          <w:color w:val="2F5496"/>
          <w:sz w:val="24"/>
          <w:szCs w:val="24"/>
        </w:rPr>
        <w:t xml:space="preserve">SAPA </w:t>
      </w:r>
      <w:r w:rsidR="001847EE" w:rsidRPr="0059491C">
        <w:rPr>
          <w:b/>
          <w:bCs/>
          <w:color w:val="2F5496"/>
          <w:sz w:val="24"/>
          <w:szCs w:val="24"/>
        </w:rPr>
        <w:t>Case Manage</w:t>
      </w:r>
      <w:r w:rsidR="00697100">
        <w:rPr>
          <w:b/>
          <w:bCs/>
          <w:color w:val="2F5496"/>
          <w:sz w:val="24"/>
          <w:szCs w:val="24"/>
        </w:rPr>
        <w:t>r</w:t>
      </w:r>
      <w:r w:rsidR="001847EE" w:rsidRPr="0059491C">
        <w:rPr>
          <w:b/>
          <w:bCs/>
          <w:color w:val="2F5496"/>
          <w:sz w:val="24"/>
          <w:szCs w:val="24"/>
        </w:rPr>
        <w:t xml:space="preserve"> </w:t>
      </w:r>
      <w:r>
        <w:rPr>
          <w:b/>
          <w:bCs/>
          <w:color w:val="2F5496"/>
          <w:sz w:val="24"/>
          <w:szCs w:val="24"/>
        </w:rPr>
        <w:t xml:space="preserve">and </w:t>
      </w:r>
      <w:r w:rsidR="00E00081">
        <w:rPr>
          <w:b/>
          <w:bCs/>
          <w:color w:val="2F5496"/>
          <w:sz w:val="24"/>
          <w:szCs w:val="24"/>
        </w:rPr>
        <w:t>Viability Subsidy Model</w:t>
      </w:r>
    </w:p>
    <w:p w14:paraId="26761111" w14:textId="3D2788E2" w:rsidR="00DC1F50" w:rsidRDefault="00294B8E" w:rsidP="007F580C">
      <w:pPr>
        <w:spacing w:after="0"/>
      </w:pPr>
      <w:r>
        <w:t>As proposed by SAPA, the Case Manager and Viability Subsidy Model includes:</w:t>
      </w:r>
    </w:p>
    <w:p w14:paraId="1574B5D9" w14:textId="636AC0B2" w:rsidR="00294B8E" w:rsidRDefault="007F580C" w:rsidP="007F580C">
      <w:pPr>
        <w:pStyle w:val="ListParagraph"/>
        <w:numPr>
          <w:ilvl w:val="0"/>
          <w:numId w:val="1"/>
        </w:numPr>
        <w:spacing w:after="120"/>
        <w:ind w:left="714" w:hanging="357"/>
        <w:rPr>
          <w:rFonts w:ascii="Calibri" w:hAnsi="Calibri" w:cs="Calibri"/>
        </w:rPr>
      </w:pPr>
      <w:r w:rsidRPr="007F580C">
        <w:rPr>
          <w:rFonts w:ascii="Calibri" w:hAnsi="Calibri" w:cs="Calibri"/>
        </w:rPr>
        <w:t xml:space="preserve">A total of 35 </w:t>
      </w:r>
      <w:r>
        <w:rPr>
          <w:rFonts w:ascii="Calibri" w:hAnsi="Calibri" w:cs="Calibri"/>
        </w:rPr>
        <w:t xml:space="preserve">case managers </w:t>
      </w:r>
      <w:r w:rsidR="00353028">
        <w:rPr>
          <w:rFonts w:ascii="Calibri" w:hAnsi="Calibri" w:cs="Calibri"/>
        </w:rPr>
        <w:t>across Queensland.</w:t>
      </w:r>
    </w:p>
    <w:p w14:paraId="777543AC" w14:textId="682A1043" w:rsidR="00A93077" w:rsidRPr="007F580C" w:rsidRDefault="00A93077" w:rsidP="007F580C">
      <w:pPr>
        <w:pStyle w:val="ListParagraph"/>
        <w:numPr>
          <w:ilvl w:val="0"/>
          <w:numId w:val="1"/>
        </w:numPr>
        <w:spacing w:after="120"/>
        <w:ind w:left="714" w:hanging="357"/>
        <w:rPr>
          <w:rFonts w:ascii="Calibri" w:hAnsi="Calibri" w:cs="Calibri"/>
        </w:rPr>
      </w:pPr>
      <w:r>
        <w:rPr>
          <w:rFonts w:ascii="Calibri" w:hAnsi="Calibri" w:cs="Calibri"/>
        </w:rPr>
        <w:t>$10,000 per resident subsidy paid directly to providers. A single facility will not receive more than $500,000 per year</w:t>
      </w:r>
      <w:r w:rsidR="002F56D3">
        <w:rPr>
          <w:rFonts w:ascii="Calibri" w:hAnsi="Calibri" w:cs="Calibri"/>
        </w:rPr>
        <w:t xml:space="preserve"> (there are </w:t>
      </w:r>
      <w:r w:rsidR="007A0A9E">
        <w:rPr>
          <w:rFonts w:ascii="Calibri" w:hAnsi="Calibri" w:cs="Calibri"/>
        </w:rPr>
        <w:t>ten facilities with more than 50 residents)</w:t>
      </w:r>
      <w:r w:rsidR="002F56D3">
        <w:rPr>
          <w:rFonts w:ascii="Calibri" w:hAnsi="Calibri" w:cs="Calibri"/>
        </w:rPr>
        <w:t>.</w:t>
      </w:r>
    </w:p>
    <w:p w14:paraId="77D82611" w14:textId="64DBFB5A" w:rsidR="00A7766A" w:rsidRDefault="00A7766A" w:rsidP="00A7766A">
      <w:pPr>
        <w:spacing w:after="120"/>
      </w:pPr>
      <w:r>
        <w:t xml:space="preserve">The total cost of this model would be estimated at </w:t>
      </w:r>
      <w:r w:rsidRPr="005A4B50">
        <w:rPr>
          <w:b/>
          <w:bCs/>
        </w:rPr>
        <w:t>$</w:t>
      </w:r>
      <w:r w:rsidR="00836959">
        <w:rPr>
          <w:b/>
          <w:bCs/>
        </w:rPr>
        <w:t>13.8</w:t>
      </w:r>
      <w:r w:rsidRPr="005A4B50">
        <w:rPr>
          <w:b/>
          <w:bCs/>
        </w:rPr>
        <w:t> million per year</w:t>
      </w:r>
      <w:r>
        <w:t>.</w:t>
      </w:r>
    </w:p>
    <w:p w14:paraId="6C92ABFD" w14:textId="16116308" w:rsidR="0069118A" w:rsidRDefault="00DF0BCC" w:rsidP="00E63E2A">
      <w:pPr>
        <w:spacing w:after="120"/>
      </w:pPr>
      <w:r>
        <w:lastRenderedPageBreak/>
        <w:t xml:space="preserve">The benefits and challenges </w:t>
      </w:r>
      <w:r w:rsidR="004975FE">
        <w:t xml:space="preserve">specific to </w:t>
      </w:r>
      <w:r w:rsidR="00AD2579">
        <w:t xml:space="preserve">the </w:t>
      </w:r>
      <w:r w:rsidR="00AD2579" w:rsidRPr="008D230D">
        <w:rPr>
          <w:i/>
          <w:iCs/>
        </w:rPr>
        <w:t>Case Manager and Viability Subsidy Model</w:t>
      </w:r>
      <w:r>
        <w:t xml:space="preserve"> include:</w:t>
      </w:r>
    </w:p>
    <w:tbl>
      <w:tblPr>
        <w:tblStyle w:val="GridTable1Light"/>
        <w:tblW w:w="0" w:type="auto"/>
        <w:tblLook w:val="04A0" w:firstRow="1" w:lastRow="0" w:firstColumn="1" w:lastColumn="0" w:noHBand="0" w:noVBand="1"/>
      </w:tblPr>
      <w:tblGrid>
        <w:gridCol w:w="1129"/>
        <w:gridCol w:w="4253"/>
        <w:gridCol w:w="4246"/>
      </w:tblGrid>
      <w:tr w:rsidR="003D125B" w14:paraId="698DC8DA" w14:textId="77777777" w:rsidTr="003D1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6DDC0AF" w14:textId="77777777" w:rsidR="003D125B" w:rsidRDefault="003D125B" w:rsidP="00E63E2A">
            <w:pPr>
              <w:spacing w:after="120"/>
            </w:pPr>
          </w:p>
        </w:tc>
        <w:tc>
          <w:tcPr>
            <w:tcW w:w="4253" w:type="dxa"/>
          </w:tcPr>
          <w:p w14:paraId="43737B73" w14:textId="13686455" w:rsidR="003D125B" w:rsidRDefault="003D125B" w:rsidP="004F41E4">
            <w:pPr>
              <w:spacing w:after="120"/>
              <w:jc w:val="center"/>
              <w:cnfStyle w:val="100000000000" w:firstRow="1" w:lastRow="0" w:firstColumn="0" w:lastColumn="0" w:oddVBand="0" w:evenVBand="0" w:oddHBand="0" w:evenHBand="0" w:firstRowFirstColumn="0" w:firstRowLastColumn="0" w:lastRowFirstColumn="0" w:lastRowLastColumn="0"/>
            </w:pPr>
            <w:r>
              <w:t>Benefits</w:t>
            </w:r>
          </w:p>
        </w:tc>
        <w:tc>
          <w:tcPr>
            <w:tcW w:w="4246" w:type="dxa"/>
          </w:tcPr>
          <w:p w14:paraId="4053CA89" w14:textId="07A5BC8D" w:rsidR="003D125B" w:rsidRDefault="003D125B" w:rsidP="004F41E4">
            <w:pPr>
              <w:spacing w:after="120"/>
              <w:jc w:val="center"/>
              <w:cnfStyle w:val="100000000000" w:firstRow="1" w:lastRow="0" w:firstColumn="0" w:lastColumn="0" w:oddVBand="0" w:evenVBand="0" w:oddHBand="0" w:evenHBand="0" w:firstRowFirstColumn="0" w:firstRowLastColumn="0" w:lastRowFirstColumn="0" w:lastRowLastColumn="0"/>
            </w:pPr>
            <w:r>
              <w:t>Challenges</w:t>
            </w:r>
          </w:p>
        </w:tc>
      </w:tr>
      <w:tr w:rsidR="003D125B" w14:paraId="1735DBEB" w14:textId="77777777" w:rsidTr="003D125B">
        <w:tc>
          <w:tcPr>
            <w:cnfStyle w:val="001000000000" w:firstRow="0" w:lastRow="0" w:firstColumn="1" w:lastColumn="0" w:oddVBand="0" w:evenVBand="0" w:oddHBand="0" w:evenHBand="0" w:firstRowFirstColumn="0" w:firstRowLastColumn="0" w:lastRowFirstColumn="0" w:lastRowLastColumn="0"/>
            <w:tcW w:w="1129" w:type="dxa"/>
          </w:tcPr>
          <w:p w14:paraId="117900EA" w14:textId="6CC20A2B" w:rsidR="003D125B" w:rsidRPr="003D125B" w:rsidRDefault="003D125B" w:rsidP="00E63E2A">
            <w:pPr>
              <w:spacing w:after="120"/>
            </w:pPr>
            <w:r w:rsidRPr="003D125B">
              <w:t>Case Managers</w:t>
            </w:r>
          </w:p>
        </w:tc>
        <w:tc>
          <w:tcPr>
            <w:tcW w:w="4253" w:type="dxa"/>
          </w:tcPr>
          <w:p w14:paraId="7F5F404A" w14:textId="2B2D593C" w:rsidR="003D125B" w:rsidRPr="003D125B" w:rsidRDefault="003D125B" w:rsidP="00E63E2A">
            <w:pPr>
              <w:spacing w:after="120"/>
              <w:cnfStyle w:val="000000000000" w:firstRow="0" w:lastRow="0" w:firstColumn="0" w:lastColumn="0" w:oddVBand="0" w:evenVBand="0" w:oddHBand="0" w:evenHBand="0" w:firstRowFirstColumn="0" w:firstRowLastColumn="0" w:lastRowFirstColumn="0" w:lastRowLastColumn="0"/>
            </w:pPr>
            <w:r w:rsidRPr="003D125B">
              <w:t xml:space="preserve">Case managers will be able to be deployed </w:t>
            </w:r>
            <w:r w:rsidR="00BB4387">
              <w:t xml:space="preserve">flexibly </w:t>
            </w:r>
            <w:r w:rsidRPr="003D125B">
              <w:t>as required across the facilities</w:t>
            </w:r>
            <w:r w:rsidR="004975FE">
              <w:t>.</w:t>
            </w:r>
          </w:p>
        </w:tc>
        <w:tc>
          <w:tcPr>
            <w:tcW w:w="4246" w:type="dxa"/>
          </w:tcPr>
          <w:p w14:paraId="18E286B3" w14:textId="77777777" w:rsidR="00BB4387" w:rsidRDefault="00BB4387" w:rsidP="00E63E2A">
            <w:pPr>
              <w:spacing w:after="120"/>
              <w:cnfStyle w:val="000000000000" w:firstRow="0" w:lastRow="0" w:firstColumn="0" w:lastColumn="0" w:oddVBand="0" w:evenVBand="0" w:oddHBand="0" w:evenHBand="0" w:firstRowFirstColumn="0" w:firstRowLastColumn="0" w:lastRowFirstColumn="0" w:lastRowLastColumn="0"/>
            </w:pPr>
            <w:r>
              <w:t>Staff working with vulnerable people should mostly work in pairs for safety and peer support. This model does not allow for working in pairs.</w:t>
            </w:r>
          </w:p>
          <w:p w14:paraId="043242B5" w14:textId="6D0F6501" w:rsidR="003D125B" w:rsidRDefault="003D125B" w:rsidP="00BB4387">
            <w:pPr>
              <w:spacing w:after="120"/>
              <w:cnfStyle w:val="000000000000" w:firstRow="0" w:lastRow="0" w:firstColumn="0" w:lastColumn="0" w:oddVBand="0" w:evenVBand="0" w:oddHBand="0" w:evenHBand="0" w:firstRowFirstColumn="0" w:firstRowLastColumn="0" w:lastRowFirstColumn="0" w:lastRowLastColumn="0"/>
            </w:pPr>
            <w:r>
              <w:t>Costings of $3.5</w:t>
            </w:r>
            <w:r w:rsidR="00FC4E33">
              <w:t xml:space="preserve">M </w:t>
            </w:r>
            <w:r>
              <w:t>for 35 case managers is under-budgeted and will require use of some of the viability subsidy or self-funded.</w:t>
            </w:r>
          </w:p>
        </w:tc>
      </w:tr>
      <w:tr w:rsidR="003D125B" w14:paraId="449EBD7F" w14:textId="77777777" w:rsidTr="003D125B">
        <w:tc>
          <w:tcPr>
            <w:cnfStyle w:val="001000000000" w:firstRow="0" w:lastRow="0" w:firstColumn="1" w:lastColumn="0" w:oddVBand="0" w:evenVBand="0" w:oddHBand="0" w:evenHBand="0" w:firstRowFirstColumn="0" w:firstRowLastColumn="0" w:lastRowFirstColumn="0" w:lastRowLastColumn="0"/>
            <w:tcW w:w="1129" w:type="dxa"/>
          </w:tcPr>
          <w:p w14:paraId="1C0B0D90" w14:textId="6FEE4C59" w:rsidR="003D125B" w:rsidRPr="003D125B" w:rsidRDefault="003D125B" w:rsidP="00E63E2A">
            <w:pPr>
              <w:spacing w:after="120"/>
            </w:pPr>
            <w:r w:rsidRPr="003D125B">
              <w:t>Viability Subsidy</w:t>
            </w:r>
          </w:p>
        </w:tc>
        <w:tc>
          <w:tcPr>
            <w:tcW w:w="4253" w:type="dxa"/>
          </w:tcPr>
          <w:p w14:paraId="084288C3" w14:textId="3FDDBE7F" w:rsidR="002668C7" w:rsidRPr="003D125B" w:rsidRDefault="006B4D7F" w:rsidP="00915DBA">
            <w:pPr>
              <w:spacing w:after="120"/>
              <w:cnfStyle w:val="000000000000" w:firstRow="0" w:lastRow="0" w:firstColumn="0" w:lastColumn="0" w:oddVBand="0" w:evenVBand="0" w:oddHBand="0" w:evenHBand="0" w:firstRowFirstColumn="0" w:firstRowLastColumn="0" w:lastRowFirstColumn="0" w:lastRowLastColumn="0"/>
            </w:pPr>
            <w:r>
              <w:t>G</w:t>
            </w:r>
            <w:r w:rsidR="003D125B" w:rsidRPr="003D125B">
              <w:t>ives operators flexibility to allocate funding to highest identified need</w:t>
            </w:r>
            <w:r>
              <w:t xml:space="preserve"> for their facility and residents</w:t>
            </w:r>
            <w:r w:rsidR="002668C7">
              <w:t>.</w:t>
            </w:r>
          </w:p>
        </w:tc>
        <w:tc>
          <w:tcPr>
            <w:tcW w:w="4246" w:type="dxa"/>
          </w:tcPr>
          <w:p w14:paraId="7B8551C4" w14:textId="40212794" w:rsidR="003D125B" w:rsidRDefault="00BB4387" w:rsidP="00E63E2A">
            <w:pPr>
              <w:spacing w:after="120"/>
              <w:cnfStyle w:val="000000000000" w:firstRow="0" w:lastRow="0" w:firstColumn="0" w:lastColumn="0" w:oddVBand="0" w:evenVBand="0" w:oddHBand="0" w:evenHBand="0" w:firstRowFirstColumn="0" w:firstRowLastColumn="0" w:lastRowFirstColumn="0" w:lastRowLastColumn="0"/>
            </w:pPr>
            <w:r>
              <w:t xml:space="preserve">Reduced </w:t>
            </w:r>
            <w:r w:rsidR="007D6186">
              <w:t xml:space="preserve">ability of government to focus </w:t>
            </w:r>
            <w:r w:rsidR="00B6381C">
              <w:t>resources to government priorities.</w:t>
            </w:r>
          </w:p>
        </w:tc>
      </w:tr>
      <w:tr w:rsidR="00915DBA" w14:paraId="13D90D89" w14:textId="77777777" w:rsidTr="003D125B">
        <w:tc>
          <w:tcPr>
            <w:cnfStyle w:val="001000000000" w:firstRow="0" w:lastRow="0" w:firstColumn="1" w:lastColumn="0" w:oddVBand="0" w:evenVBand="0" w:oddHBand="0" w:evenHBand="0" w:firstRowFirstColumn="0" w:firstRowLastColumn="0" w:lastRowFirstColumn="0" w:lastRowLastColumn="0"/>
            <w:tcW w:w="1129" w:type="dxa"/>
          </w:tcPr>
          <w:p w14:paraId="5D075EBD" w14:textId="34955668" w:rsidR="00915DBA" w:rsidRPr="003D125B" w:rsidRDefault="00915DBA" w:rsidP="00E63E2A">
            <w:pPr>
              <w:spacing w:after="120"/>
            </w:pPr>
            <w:r>
              <w:t>Overall</w:t>
            </w:r>
          </w:p>
        </w:tc>
        <w:tc>
          <w:tcPr>
            <w:tcW w:w="4253" w:type="dxa"/>
          </w:tcPr>
          <w:p w14:paraId="29D4AA86" w14:textId="03D8B473" w:rsidR="00915DBA" w:rsidRDefault="00915DBA" w:rsidP="00E63E2A">
            <w:pPr>
              <w:spacing w:after="120"/>
              <w:cnfStyle w:val="000000000000" w:firstRow="0" w:lastRow="0" w:firstColumn="0" w:lastColumn="0" w:oddVBand="0" w:evenVBand="0" w:oddHBand="0" w:evenHBand="0" w:firstRowFirstColumn="0" w:firstRowLastColumn="0" w:lastRowFirstColumn="0" w:lastRowLastColumn="0"/>
            </w:pPr>
            <w:r>
              <w:t xml:space="preserve">Cheapest </w:t>
            </w:r>
            <w:r w:rsidR="006E463A">
              <w:t>model</w:t>
            </w:r>
            <w:r>
              <w:t>.</w:t>
            </w:r>
          </w:p>
          <w:p w14:paraId="7ECA593D" w14:textId="4F9F7055" w:rsidR="00915DBA" w:rsidRPr="003D125B" w:rsidRDefault="00915DBA" w:rsidP="00E63E2A">
            <w:pPr>
              <w:spacing w:after="120"/>
              <w:cnfStyle w:val="000000000000" w:firstRow="0" w:lastRow="0" w:firstColumn="0" w:lastColumn="0" w:oddVBand="0" w:evenVBand="0" w:oddHBand="0" w:evenHBand="0" w:firstRowFirstColumn="0" w:firstRowLastColumn="0" w:lastRowFirstColumn="0" w:lastRowLastColumn="0"/>
            </w:pPr>
            <w:r>
              <w:t>Identified by SAPA as most effective method of supporting the sector</w:t>
            </w:r>
          </w:p>
        </w:tc>
        <w:tc>
          <w:tcPr>
            <w:tcW w:w="4246" w:type="dxa"/>
          </w:tcPr>
          <w:p w14:paraId="33CE7E89" w14:textId="37EA55B9" w:rsidR="00915DBA" w:rsidRDefault="00B5084E" w:rsidP="00E63E2A">
            <w:pPr>
              <w:spacing w:after="120"/>
              <w:cnfStyle w:val="000000000000" w:firstRow="0" w:lastRow="0" w:firstColumn="0" w:lastColumn="0" w:oddVBand="0" w:evenVBand="0" w:oddHBand="0" w:evenHBand="0" w:firstRowFirstColumn="0" w:firstRowLastColumn="0" w:lastRowFirstColumn="0" w:lastRowLastColumn="0"/>
            </w:pPr>
            <w:r>
              <w:t xml:space="preserve">Less intensive </w:t>
            </w:r>
            <w:r w:rsidR="00542110">
              <w:t xml:space="preserve">approach </w:t>
            </w:r>
            <w:r>
              <w:t xml:space="preserve">and </w:t>
            </w:r>
            <w:r w:rsidR="00542110">
              <w:t xml:space="preserve">will </w:t>
            </w:r>
            <w:r>
              <w:t>not maximise benefits of a case management model.</w:t>
            </w:r>
          </w:p>
        </w:tc>
      </w:tr>
    </w:tbl>
    <w:p w14:paraId="7C87FCA9" w14:textId="77777777" w:rsidR="00DF0BCC" w:rsidRDefault="00DF0BCC" w:rsidP="00E63E2A">
      <w:pPr>
        <w:spacing w:after="120"/>
      </w:pPr>
    </w:p>
    <w:p w14:paraId="595F29AA" w14:textId="097DF8FA" w:rsidR="00DE18AA" w:rsidRDefault="00B92BFF" w:rsidP="00EE7E8F">
      <w:pPr>
        <w:spacing w:after="120"/>
      </w:pPr>
      <w:r>
        <w:t xml:space="preserve">As noted in the Challenges above, </w:t>
      </w:r>
      <w:r w:rsidR="00715133">
        <w:t xml:space="preserve">$3.5M p.a. is not considered sufficient </w:t>
      </w:r>
      <w:r w:rsidR="0041667A">
        <w:t xml:space="preserve">to cover the costs of employing </w:t>
      </w:r>
      <w:r w:rsidR="00715133">
        <w:t>35 case managers</w:t>
      </w:r>
      <w:r w:rsidR="0041667A">
        <w:t xml:space="preserve">. </w:t>
      </w:r>
      <w:r w:rsidR="00DE18AA">
        <w:t xml:space="preserve">It is estimated that </w:t>
      </w:r>
      <w:r w:rsidR="007F576F">
        <w:t xml:space="preserve">fully costed </w:t>
      </w:r>
      <w:r w:rsidR="00DE6F52">
        <w:t>case managers would be approximately $</w:t>
      </w:r>
      <w:r w:rsidR="00EE7E8F">
        <w:t>5.6 million p.a. (</w:t>
      </w:r>
      <w:r w:rsidR="00EE7E8F" w:rsidRPr="004F41E4">
        <w:rPr>
          <w:b/>
          <w:bCs/>
        </w:rPr>
        <w:t>total measure = $15.9 million</w:t>
      </w:r>
      <w:r w:rsidR="00EE7E8F">
        <w:t>)</w:t>
      </w:r>
      <w:r w:rsidR="007F576F">
        <w:t>.</w:t>
      </w:r>
    </w:p>
    <w:p w14:paraId="71434916" w14:textId="77777777" w:rsidR="007F576F" w:rsidRDefault="007F576F" w:rsidP="00EE7E8F">
      <w:pPr>
        <w:spacing w:after="120"/>
      </w:pPr>
    </w:p>
    <w:p w14:paraId="20CDA157" w14:textId="7E679B9B" w:rsidR="001847EE" w:rsidRPr="0059491C" w:rsidRDefault="001847EE" w:rsidP="002F0C0D">
      <w:pPr>
        <w:pStyle w:val="ListParagraph"/>
        <w:numPr>
          <w:ilvl w:val="0"/>
          <w:numId w:val="7"/>
        </w:numPr>
        <w:spacing w:after="120"/>
        <w:rPr>
          <w:b/>
          <w:bCs/>
          <w:color w:val="2F5496"/>
          <w:sz w:val="24"/>
          <w:szCs w:val="24"/>
        </w:rPr>
      </w:pPr>
      <w:r w:rsidRPr="0059491C">
        <w:rPr>
          <w:b/>
          <w:bCs/>
          <w:color w:val="2F5496"/>
          <w:sz w:val="24"/>
          <w:szCs w:val="24"/>
        </w:rPr>
        <w:t>Case Manager and Support Workers Model</w:t>
      </w:r>
    </w:p>
    <w:p w14:paraId="28F2C52B" w14:textId="796FD5A8" w:rsidR="00DD27C3" w:rsidRDefault="007D5461" w:rsidP="005413DB">
      <w:pPr>
        <w:spacing w:after="0"/>
      </w:pPr>
      <w:r>
        <w:t xml:space="preserve">The Case Manager and Support Workers Model </w:t>
      </w:r>
      <w:r w:rsidR="00DD27C3">
        <w:t>includes</w:t>
      </w:r>
      <w:r w:rsidR="00F316BB">
        <w:t xml:space="preserve"> the following staff per site (or collection of sites)</w:t>
      </w:r>
      <w:r w:rsidR="00DD27C3">
        <w:t>:</w:t>
      </w:r>
    </w:p>
    <w:p w14:paraId="10E9F628" w14:textId="1C35632A" w:rsidR="00DD27C3" w:rsidRPr="005413DB" w:rsidRDefault="00DD27C3" w:rsidP="002F0C0D">
      <w:pPr>
        <w:pStyle w:val="ListParagraph"/>
        <w:numPr>
          <w:ilvl w:val="0"/>
          <w:numId w:val="1"/>
        </w:numPr>
        <w:spacing w:after="120"/>
        <w:ind w:left="714" w:hanging="357"/>
        <w:rPr>
          <w:rFonts w:ascii="Calibri" w:hAnsi="Calibri" w:cs="Calibri"/>
        </w:rPr>
      </w:pPr>
      <w:r w:rsidRPr="005413DB">
        <w:rPr>
          <w:rFonts w:ascii="Calibri" w:hAnsi="Calibri" w:cs="Calibri"/>
        </w:rPr>
        <w:t xml:space="preserve">one case manager </w:t>
      </w:r>
      <w:r w:rsidR="00AB28FD">
        <w:rPr>
          <w:rFonts w:ascii="Calibri" w:hAnsi="Calibri" w:cs="Calibri"/>
        </w:rPr>
        <w:t>[SCHADS</w:t>
      </w:r>
      <w:r w:rsidR="00FC4E33">
        <w:rPr>
          <w:rFonts w:ascii="Calibri" w:hAnsi="Calibri" w:cs="Calibri"/>
        </w:rPr>
        <w:t xml:space="preserve"> </w:t>
      </w:r>
      <w:r w:rsidR="00AB28FD">
        <w:rPr>
          <w:rFonts w:ascii="Calibri" w:hAnsi="Calibri" w:cs="Calibri"/>
        </w:rPr>
        <w:t>5</w:t>
      </w:r>
      <w:r w:rsidR="004A27DE">
        <w:rPr>
          <w:rFonts w:ascii="Calibri" w:hAnsi="Calibri" w:cs="Calibri"/>
        </w:rPr>
        <w:t>]</w:t>
      </w:r>
    </w:p>
    <w:p w14:paraId="5F3E1704" w14:textId="3F41D8BA" w:rsidR="00373186" w:rsidRPr="005413DB" w:rsidRDefault="00DD27C3" w:rsidP="002F0C0D">
      <w:pPr>
        <w:pStyle w:val="ListParagraph"/>
        <w:numPr>
          <w:ilvl w:val="0"/>
          <w:numId w:val="1"/>
        </w:numPr>
        <w:spacing w:after="120"/>
        <w:ind w:left="714" w:hanging="357"/>
        <w:rPr>
          <w:rFonts w:ascii="Calibri" w:hAnsi="Calibri" w:cs="Calibri"/>
        </w:rPr>
      </w:pPr>
      <w:r w:rsidRPr="005413DB">
        <w:rPr>
          <w:rFonts w:ascii="Calibri" w:hAnsi="Calibri" w:cs="Calibri"/>
        </w:rPr>
        <w:t xml:space="preserve">two </w:t>
      </w:r>
      <w:r w:rsidR="00FE4523" w:rsidRPr="005413DB">
        <w:rPr>
          <w:rFonts w:ascii="Calibri" w:hAnsi="Calibri" w:cs="Calibri"/>
        </w:rPr>
        <w:t>day</w:t>
      </w:r>
      <w:r w:rsidR="00692B15">
        <w:rPr>
          <w:rFonts w:ascii="Calibri" w:hAnsi="Calibri" w:cs="Calibri"/>
        </w:rPr>
        <w:t xml:space="preserve">time </w:t>
      </w:r>
      <w:r w:rsidRPr="005413DB">
        <w:rPr>
          <w:rFonts w:ascii="Calibri" w:hAnsi="Calibri" w:cs="Calibri"/>
        </w:rPr>
        <w:t>support workers (</w:t>
      </w:r>
      <w:r w:rsidR="00CE30FA" w:rsidRPr="005413DB">
        <w:rPr>
          <w:rFonts w:ascii="Calibri" w:hAnsi="Calibri" w:cs="Calibri"/>
        </w:rPr>
        <w:t>16 hours per day</w:t>
      </w:r>
      <w:r w:rsidR="004A27DE">
        <w:rPr>
          <w:rFonts w:ascii="Calibri" w:hAnsi="Calibri" w:cs="Calibri"/>
        </w:rPr>
        <w:t>,</w:t>
      </w:r>
      <w:r w:rsidR="00CE30FA" w:rsidRPr="005413DB">
        <w:rPr>
          <w:rFonts w:ascii="Calibri" w:hAnsi="Calibri" w:cs="Calibri"/>
        </w:rPr>
        <w:t xml:space="preserve"> i.e. two shifts)</w:t>
      </w:r>
      <w:r w:rsidR="004A27DE">
        <w:rPr>
          <w:rFonts w:ascii="Calibri" w:hAnsi="Calibri" w:cs="Calibri"/>
        </w:rPr>
        <w:t xml:space="preserve"> [</w:t>
      </w:r>
      <w:r w:rsidR="00FC4E33">
        <w:rPr>
          <w:rFonts w:ascii="Calibri" w:hAnsi="Calibri" w:cs="Calibri"/>
        </w:rPr>
        <w:t xml:space="preserve">one x </w:t>
      </w:r>
      <w:r w:rsidR="004A27DE">
        <w:rPr>
          <w:rFonts w:ascii="Calibri" w:hAnsi="Calibri" w:cs="Calibri"/>
        </w:rPr>
        <w:t>SCHADS</w:t>
      </w:r>
      <w:r w:rsidR="00FC4E33">
        <w:rPr>
          <w:rFonts w:ascii="Calibri" w:hAnsi="Calibri" w:cs="Calibri"/>
        </w:rPr>
        <w:t xml:space="preserve"> </w:t>
      </w:r>
      <w:r w:rsidR="004A27DE">
        <w:rPr>
          <w:rFonts w:ascii="Calibri" w:hAnsi="Calibri" w:cs="Calibri"/>
        </w:rPr>
        <w:t xml:space="preserve">2 + </w:t>
      </w:r>
      <w:r w:rsidR="00FC4E33">
        <w:rPr>
          <w:rFonts w:ascii="Calibri" w:hAnsi="Calibri" w:cs="Calibri"/>
        </w:rPr>
        <w:t xml:space="preserve">one </w:t>
      </w:r>
      <w:r w:rsidR="004A27DE">
        <w:rPr>
          <w:rFonts w:ascii="Calibri" w:hAnsi="Calibri" w:cs="Calibri"/>
        </w:rPr>
        <w:t>x</w:t>
      </w:r>
      <w:r w:rsidR="00FC4E33">
        <w:rPr>
          <w:rFonts w:ascii="Calibri" w:hAnsi="Calibri" w:cs="Calibri"/>
        </w:rPr>
        <w:t xml:space="preserve"> </w:t>
      </w:r>
      <w:r w:rsidR="004A27DE">
        <w:rPr>
          <w:rFonts w:ascii="Calibri" w:hAnsi="Calibri" w:cs="Calibri"/>
        </w:rPr>
        <w:t>SCHADS</w:t>
      </w:r>
      <w:r w:rsidR="00FC4E33">
        <w:rPr>
          <w:rFonts w:ascii="Calibri" w:hAnsi="Calibri" w:cs="Calibri"/>
        </w:rPr>
        <w:t xml:space="preserve"> </w:t>
      </w:r>
      <w:r w:rsidR="004A27DE">
        <w:rPr>
          <w:rFonts w:ascii="Calibri" w:hAnsi="Calibri" w:cs="Calibri"/>
        </w:rPr>
        <w:t>3 per shift]</w:t>
      </w:r>
    </w:p>
    <w:p w14:paraId="200CDC5F" w14:textId="47502EC8" w:rsidR="00FE4523" w:rsidRPr="005413DB" w:rsidRDefault="00FE4523" w:rsidP="002F0C0D">
      <w:pPr>
        <w:pStyle w:val="ListParagraph"/>
        <w:numPr>
          <w:ilvl w:val="0"/>
          <w:numId w:val="1"/>
        </w:numPr>
        <w:spacing w:after="120"/>
        <w:ind w:left="714" w:hanging="357"/>
        <w:rPr>
          <w:rFonts w:ascii="Calibri" w:hAnsi="Calibri" w:cs="Calibri"/>
        </w:rPr>
      </w:pPr>
      <w:r w:rsidRPr="005413DB">
        <w:rPr>
          <w:rFonts w:ascii="Calibri" w:hAnsi="Calibri" w:cs="Calibri"/>
        </w:rPr>
        <w:t>one overnight support worker</w:t>
      </w:r>
      <w:r w:rsidR="0047507D">
        <w:rPr>
          <w:rFonts w:ascii="Calibri" w:hAnsi="Calibri" w:cs="Calibri"/>
        </w:rPr>
        <w:t xml:space="preserve"> (sleepover</w:t>
      </w:r>
      <w:r w:rsidR="00EC0962">
        <w:rPr>
          <w:rFonts w:ascii="Calibri" w:hAnsi="Calibri" w:cs="Calibri"/>
        </w:rPr>
        <w:t xml:space="preserve"> conditions)</w:t>
      </w:r>
      <w:r w:rsidR="004A27DE">
        <w:rPr>
          <w:rFonts w:ascii="Calibri" w:hAnsi="Calibri" w:cs="Calibri"/>
        </w:rPr>
        <w:t xml:space="preserve"> [</w:t>
      </w:r>
      <w:r w:rsidR="004E7AED">
        <w:rPr>
          <w:rFonts w:ascii="Calibri" w:hAnsi="Calibri" w:cs="Calibri"/>
        </w:rPr>
        <w:t>SCHADS</w:t>
      </w:r>
      <w:r w:rsidR="00FC4E33">
        <w:rPr>
          <w:rFonts w:ascii="Calibri" w:hAnsi="Calibri" w:cs="Calibri"/>
        </w:rPr>
        <w:t xml:space="preserve"> </w:t>
      </w:r>
      <w:r w:rsidR="004E7AED">
        <w:rPr>
          <w:rFonts w:ascii="Calibri" w:hAnsi="Calibri" w:cs="Calibri"/>
        </w:rPr>
        <w:t>2]</w:t>
      </w:r>
      <w:r w:rsidR="00D02538">
        <w:rPr>
          <w:rFonts w:ascii="Calibri" w:hAnsi="Calibri" w:cs="Calibri"/>
        </w:rPr>
        <w:t>.</w:t>
      </w:r>
    </w:p>
    <w:p w14:paraId="3BEEFD08" w14:textId="04E50312" w:rsidR="00BD1826" w:rsidRDefault="00BD1826" w:rsidP="000613DF">
      <w:pPr>
        <w:spacing w:after="120"/>
      </w:pPr>
      <w:r>
        <w:t>The model includes c</w:t>
      </w:r>
      <w:r w:rsidR="000613DF">
        <w:t xml:space="preserve">ase </w:t>
      </w:r>
      <w:r>
        <w:t>m</w:t>
      </w:r>
      <w:r w:rsidR="000613DF">
        <w:t xml:space="preserve">anagers </w:t>
      </w:r>
      <w:r>
        <w:t xml:space="preserve">who </w:t>
      </w:r>
      <w:r w:rsidR="000613DF">
        <w:t xml:space="preserve">are highly qualified workers with degree level qualifications and paid generally at the SCHADS 5 level or above. </w:t>
      </w:r>
      <w:r>
        <w:t>Howe</w:t>
      </w:r>
      <w:r w:rsidR="00BB6F34">
        <w:t xml:space="preserve">ver, this model also includes </w:t>
      </w:r>
      <w:r w:rsidR="00FC4E33">
        <w:t>lower-level</w:t>
      </w:r>
      <w:r w:rsidR="00BB6F34">
        <w:t xml:space="preserve"> support workers who would enable the delivery of more intensive support for residents, and therefore improved outcomes for residents</w:t>
      </w:r>
      <w:r w:rsidR="0035550C">
        <w:t>.</w:t>
      </w:r>
    </w:p>
    <w:p w14:paraId="1F01BAF4" w14:textId="77777777" w:rsidR="000613DF" w:rsidRDefault="000613DF" w:rsidP="000613DF">
      <w:pPr>
        <w:spacing w:after="120"/>
      </w:pPr>
      <w:r>
        <w:t>Based on best practice individual support, a case manager can take the overall management of ‘cases’ (support planning and review, network/partnership development and systems advocacy) and provide supervision to other staff. A support worker with a Certificate III qualification at a SCHADS 2/3 level would be able to provide personalised supports needed by residents under the guidance of a case manager – this support combined will deliver more intensive and effective support.</w:t>
      </w:r>
    </w:p>
    <w:p w14:paraId="36F12CDC" w14:textId="7C810B30" w:rsidR="00344A33" w:rsidRDefault="00344A33" w:rsidP="00E63E2A">
      <w:pPr>
        <w:spacing w:after="120"/>
      </w:pPr>
      <w:r>
        <w:t xml:space="preserve">It is recommended that the support workers are employed directly by the </w:t>
      </w:r>
      <w:r w:rsidR="002E2A00">
        <w:t>accommodation provider</w:t>
      </w:r>
      <w:r w:rsidR="006870C7">
        <w:t xml:space="preserve">. This will enable closer relationships between workers and residents, enable </w:t>
      </w:r>
      <w:r w:rsidR="001522DB">
        <w:t xml:space="preserve">better building of trust and rapport, </w:t>
      </w:r>
      <w:r w:rsidR="003819D0">
        <w:t xml:space="preserve">on-site staff management, </w:t>
      </w:r>
      <w:r w:rsidR="001522DB">
        <w:t>and support viability within facilities.</w:t>
      </w:r>
    </w:p>
    <w:p w14:paraId="26CF7709" w14:textId="52B68F83" w:rsidR="004E294B" w:rsidRDefault="004E294B" w:rsidP="004E294B">
      <w:pPr>
        <w:spacing w:after="120"/>
      </w:pPr>
      <w:r>
        <w:t xml:space="preserve">The total cost of this model would be estimated at </w:t>
      </w:r>
      <w:r w:rsidRPr="005A4B50">
        <w:rPr>
          <w:b/>
          <w:bCs/>
        </w:rPr>
        <w:t>$</w:t>
      </w:r>
      <w:r>
        <w:rPr>
          <w:b/>
          <w:bCs/>
        </w:rPr>
        <w:t>2</w:t>
      </w:r>
      <w:r w:rsidR="00EB6E78">
        <w:rPr>
          <w:b/>
          <w:bCs/>
        </w:rPr>
        <w:t>8</w:t>
      </w:r>
      <w:r>
        <w:rPr>
          <w:b/>
          <w:bCs/>
        </w:rPr>
        <w:t>.</w:t>
      </w:r>
      <w:r w:rsidRPr="005A4B50">
        <w:rPr>
          <w:b/>
          <w:bCs/>
        </w:rPr>
        <w:t>3 million per year</w:t>
      </w:r>
      <w:r>
        <w:t>.</w:t>
      </w:r>
    </w:p>
    <w:p w14:paraId="3EC02981" w14:textId="2FEE73FB" w:rsidR="001847EE" w:rsidRPr="0059491C" w:rsidRDefault="001847EE" w:rsidP="00793B99">
      <w:pPr>
        <w:keepNext/>
        <w:spacing w:after="120"/>
        <w:rPr>
          <w:b/>
          <w:bCs/>
          <w:color w:val="4472C4" w:themeColor="accent1"/>
          <w:sz w:val="24"/>
          <w:szCs w:val="24"/>
        </w:rPr>
      </w:pPr>
      <w:r w:rsidRPr="0059491C">
        <w:rPr>
          <w:b/>
          <w:bCs/>
          <w:color w:val="4472C4" w:themeColor="accent1"/>
          <w:sz w:val="24"/>
          <w:szCs w:val="24"/>
        </w:rPr>
        <w:lastRenderedPageBreak/>
        <w:t>Variations</w:t>
      </w:r>
      <w:r w:rsidR="00107127" w:rsidRPr="0059491C">
        <w:rPr>
          <w:b/>
          <w:bCs/>
          <w:color w:val="4472C4" w:themeColor="accent1"/>
          <w:sz w:val="24"/>
          <w:szCs w:val="24"/>
        </w:rPr>
        <w:t>:</w:t>
      </w:r>
      <w:r w:rsidR="005E0144" w:rsidRPr="0059491C">
        <w:rPr>
          <w:b/>
          <w:bCs/>
          <w:color w:val="4472C4" w:themeColor="accent1"/>
          <w:sz w:val="24"/>
          <w:szCs w:val="24"/>
        </w:rPr>
        <w:t xml:space="preserve"> </w:t>
      </w:r>
      <w:r w:rsidR="00107127" w:rsidRPr="0059491C">
        <w:rPr>
          <w:b/>
          <w:bCs/>
          <w:color w:val="4472C4" w:themeColor="accent1"/>
          <w:sz w:val="24"/>
          <w:szCs w:val="24"/>
        </w:rPr>
        <w:t>Model 2A</w:t>
      </w:r>
    </w:p>
    <w:p w14:paraId="72750833" w14:textId="2BB859F6" w:rsidR="00F528A0" w:rsidRDefault="009C2DDC" w:rsidP="00E63E2A">
      <w:pPr>
        <w:spacing w:after="120"/>
      </w:pPr>
      <w:r>
        <w:t xml:space="preserve">Given the size of some facilities, </w:t>
      </w:r>
      <w:r w:rsidR="00710A24">
        <w:t xml:space="preserve">an alternative </w:t>
      </w:r>
      <w:r>
        <w:t xml:space="preserve">option </w:t>
      </w:r>
      <w:r w:rsidR="007F580C">
        <w:t xml:space="preserve">would be </w:t>
      </w:r>
      <w:r>
        <w:t>to increase the number of support workers during the day</w:t>
      </w:r>
      <w:r w:rsidR="00161AA5">
        <w:t xml:space="preserve"> for larger facilities</w:t>
      </w:r>
      <w:r w:rsidR="00DC027E">
        <w:t xml:space="preserve"> – see column ‘Model 2</w:t>
      </w:r>
      <w:r w:rsidR="007F580C">
        <w:t>a</w:t>
      </w:r>
      <w:r w:rsidR="00DC027E">
        <w:t xml:space="preserve">’ in Appendix 1 for </w:t>
      </w:r>
      <w:r w:rsidR="008A1AB2">
        <w:t xml:space="preserve">facilities with </w:t>
      </w:r>
      <w:r w:rsidR="00DC027E">
        <w:t>additional support workers.</w:t>
      </w:r>
      <w:r w:rsidR="005413DB">
        <w:t xml:space="preserve"> Under this model an additional 1</w:t>
      </w:r>
      <w:r w:rsidR="0019596C">
        <w:t>7</w:t>
      </w:r>
      <w:r w:rsidR="005413DB">
        <w:t xml:space="preserve"> support workers would be funded</w:t>
      </w:r>
      <w:r w:rsidR="00A6569D">
        <w:t xml:space="preserve"> across Queensland</w:t>
      </w:r>
      <w:r w:rsidR="005413DB">
        <w:t>.</w:t>
      </w:r>
      <w:r w:rsidR="00DD2C75">
        <w:t xml:space="preserve"> The additional support workers would be paid at the SCHADS 2 level.</w:t>
      </w:r>
    </w:p>
    <w:p w14:paraId="2BE2AC99" w14:textId="15EBA32A" w:rsidR="00444098" w:rsidRDefault="004E294B" w:rsidP="00EE6612">
      <w:pPr>
        <w:spacing w:after="120"/>
      </w:pPr>
      <w:r>
        <w:t xml:space="preserve">The total cost of this model would be estimated at </w:t>
      </w:r>
      <w:r w:rsidRPr="005A4B50">
        <w:rPr>
          <w:b/>
          <w:bCs/>
        </w:rPr>
        <w:t>$</w:t>
      </w:r>
      <w:r w:rsidR="00067FD6">
        <w:rPr>
          <w:b/>
          <w:bCs/>
        </w:rPr>
        <w:t>31.</w:t>
      </w:r>
      <w:r w:rsidR="00600F74">
        <w:rPr>
          <w:b/>
          <w:bCs/>
        </w:rPr>
        <w:t>3</w:t>
      </w:r>
      <w:r w:rsidRPr="005A4B50">
        <w:rPr>
          <w:b/>
          <w:bCs/>
        </w:rPr>
        <w:t> million per year</w:t>
      </w:r>
      <w:r>
        <w:t>.</w:t>
      </w:r>
    </w:p>
    <w:p w14:paraId="586083DC" w14:textId="4ED3A317" w:rsidR="00EE6612" w:rsidRDefault="00EE6612" w:rsidP="00EE6612">
      <w:pPr>
        <w:spacing w:after="120"/>
      </w:pPr>
      <w:r>
        <w:t>The benefits and challenges specific to</w:t>
      </w:r>
      <w:r w:rsidR="007F57C2">
        <w:t xml:space="preserve"> the</w:t>
      </w:r>
      <w:r>
        <w:t xml:space="preserve"> </w:t>
      </w:r>
      <w:r w:rsidR="00AD2579" w:rsidRPr="008D230D">
        <w:rPr>
          <w:i/>
          <w:iCs/>
        </w:rPr>
        <w:t>Case Manager and Support Workers Model</w:t>
      </w:r>
      <w:r w:rsidR="00AD2579">
        <w:t xml:space="preserve"> </w:t>
      </w:r>
      <w:r>
        <w:t>include:</w:t>
      </w:r>
    </w:p>
    <w:tbl>
      <w:tblPr>
        <w:tblStyle w:val="GridTable1Light"/>
        <w:tblW w:w="0" w:type="auto"/>
        <w:tblLook w:val="04A0" w:firstRow="1" w:lastRow="0" w:firstColumn="1" w:lastColumn="0" w:noHBand="0" w:noVBand="1"/>
      </w:tblPr>
      <w:tblGrid>
        <w:gridCol w:w="1129"/>
        <w:gridCol w:w="4253"/>
        <w:gridCol w:w="4246"/>
      </w:tblGrid>
      <w:tr w:rsidR="00EE6612" w14:paraId="7F33CCB8" w14:textId="77777777" w:rsidTr="00014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E2C06A8" w14:textId="77777777" w:rsidR="00EE6612" w:rsidRDefault="00EE6612" w:rsidP="00014082">
            <w:pPr>
              <w:spacing w:after="120"/>
            </w:pPr>
          </w:p>
        </w:tc>
        <w:tc>
          <w:tcPr>
            <w:tcW w:w="4253" w:type="dxa"/>
          </w:tcPr>
          <w:p w14:paraId="4A080511" w14:textId="77777777" w:rsidR="00EE6612" w:rsidRDefault="00EE6612" w:rsidP="00014082">
            <w:pPr>
              <w:spacing w:after="120"/>
              <w:jc w:val="center"/>
              <w:cnfStyle w:val="100000000000" w:firstRow="1" w:lastRow="0" w:firstColumn="0" w:lastColumn="0" w:oddVBand="0" w:evenVBand="0" w:oddHBand="0" w:evenHBand="0" w:firstRowFirstColumn="0" w:firstRowLastColumn="0" w:lastRowFirstColumn="0" w:lastRowLastColumn="0"/>
            </w:pPr>
            <w:r>
              <w:t>Benefits</w:t>
            </w:r>
          </w:p>
        </w:tc>
        <w:tc>
          <w:tcPr>
            <w:tcW w:w="4246" w:type="dxa"/>
          </w:tcPr>
          <w:p w14:paraId="30B73332" w14:textId="77777777" w:rsidR="00EE6612" w:rsidRDefault="00EE6612" w:rsidP="00014082">
            <w:pPr>
              <w:spacing w:after="120"/>
              <w:jc w:val="center"/>
              <w:cnfStyle w:val="100000000000" w:firstRow="1" w:lastRow="0" w:firstColumn="0" w:lastColumn="0" w:oddVBand="0" w:evenVBand="0" w:oddHBand="0" w:evenHBand="0" w:firstRowFirstColumn="0" w:firstRowLastColumn="0" w:lastRowFirstColumn="0" w:lastRowLastColumn="0"/>
            </w:pPr>
            <w:r>
              <w:t>Challenges</w:t>
            </w:r>
          </w:p>
        </w:tc>
      </w:tr>
      <w:tr w:rsidR="00EE6612" w14:paraId="12ACCC61" w14:textId="77777777" w:rsidTr="00014082">
        <w:tc>
          <w:tcPr>
            <w:cnfStyle w:val="001000000000" w:firstRow="0" w:lastRow="0" w:firstColumn="1" w:lastColumn="0" w:oddVBand="0" w:evenVBand="0" w:oddHBand="0" w:evenHBand="0" w:firstRowFirstColumn="0" w:firstRowLastColumn="0" w:lastRowFirstColumn="0" w:lastRowLastColumn="0"/>
            <w:tcW w:w="1129" w:type="dxa"/>
          </w:tcPr>
          <w:p w14:paraId="01419A98" w14:textId="77777777" w:rsidR="00EE6612" w:rsidRPr="003D125B" w:rsidRDefault="00EE6612" w:rsidP="00014082">
            <w:pPr>
              <w:spacing w:after="120"/>
            </w:pPr>
            <w:r w:rsidRPr="003D125B">
              <w:t>Case Managers</w:t>
            </w:r>
          </w:p>
        </w:tc>
        <w:tc>
          <w:tcPr>
            <w:tcW w:w="4253" w:type="dxa"/>
          </w:tcPr>
          <w:p w14:paraId="4CD4747D" w14:textId="031A7985" w:rsidR="00EE6612" w:rsidRPr="003D125B" w:rsidRDefault="0014354F" w:rsidP="00014082">
            <w:pPr>
              <w:spacing w:after="120"/>
              <w:cnfStyle w:val="000000000000" w:firstRow="0" w:lastRow="0" w:firstColumn="0" w:lastColumn="0" w:oddVBand="0" w:evenVBand="0" w:oddHBand="0" w:evenHBand="0" w:firstRowFirstColumn="0" w:firstRowLastColumn="0" w:lastRowFirstColumn="0" w:lastRowLastColumn="0"/>
            </w:pPr>
            <w:r>
              <w:t xml:space="preserve">Case managers will be allocated to </w:t>
            </w:r>
            <w:r w:rsidR="00E9473A">
              <w:t>specific facilities enabling trust building with residents and clear management of support workers.</w:t>
            </w:r>
          </w:p>
        </w:tc>
        <w:tc>
          <w:tcPr>
            <w:tcW w:w="4246" w:type="dxa"/>
          </w:tcPr>
          <w:p w14:paraId="5C465EB9" w14:textId="36364B09" w:rsidR="00EE6612" w:rsidRDefault="00E9473A" w:rsidP="00014082">
            <w:pPr>
              <w:spacing w:after="120"/>
              <w:cnfStyle w:val="000000000000" w:firstRow="0" w:lastRow="0" w:firstColumn="0" w:lastColumn="0" w:oddVBand="0" w:evenVBand="0" w:oddHBand="0" w:evenHBand="0" w:firstRowFirstColumn="0" w:firstRowLastColumn="0" w:lastRowFirstColumn="0" w:lastRowLastColumn="0"/>
            </w:pPr>
            <w:r>
              <w:t xml:space="preserve">Reduced flexibility </w:t>
            </w:r>
            <w:r w:rsidR="00FD5E7D">
              <w:t>as a sector (</w:t>
            </w:r>
            <w:r w:rsidR="00E720A7">
              <w:t>across all facilities</w:t>
            </w:r>
            <w:r w:rsidR="00FD5E7D">
              <w:t>)</w:t>
            </w:r>
            <w:r w:rsidR="00E720A7">
              <w:t>.</w:t>
            </w:r>
          </w:p>
        </w:tc>
      </w:tr>
      <w:tr w:rsidR="00EE6612" w14:paraId="536442D8" w14:textId="77777777" w:rsidTr="00014082">
        <w:tc>
          <w:tcPr>
            <w:cnfStyle w:val="001000000000" w:firstRow="0" w:lastRow="0" w:firstColumn="1" w:lastColumn="0" w:oddVBand="0" w:evenVBand="0" w:oddHBand="0" w:evenHBand="0" w:firstRowFirstColumn="0" w:firstRowLastColumn="0" w:lastRowFirstColumn="0" w:lastRowLastColumn="0"/>
            <w:tcW w:w="1129" w:type="dxa"/>
          </w:tcPr>
          <w:p w14:paraId="0A2971AB" w14:textId="5BBB33F1" w:rsidR="00EE6612" w:rsidRPr="003D125B" w:rsidRDefault="006E463A" w:rsidP="00014082">
            <w:pPr>
              <w:spacing w:after="120"/>
            </w:pPr>
            <w:r>
              <w:t>Support Workers</w:t>
            </w:r>
          </w:p>
        </w:tc>
        <w:tc>
          <w:tcPr>
            <w:tcW w:w="4253" w:type="dxa"/>
          </w:tcPr>
          <w:p w14:paraId="6A184E50" w14:textId="20FFA521" w:rsidR="00EE6612" w:rsidRDefault="00065673" w:rsidP="00014082">
            <w:pPr>
              <w:spacing w:after="120"/>
              <w:cnfStyle w:val="000000000000" w:firstRow="0" w:lastRow="0" w:firstColumn="0" w:lastColumn="0" w:oddVBand="0" w:evenVBand="0" w:oddHBand="0" w:evenHBand="0" w:firstRowFirstColumn="0" w:firstRowLastColumn="0" w:lastRowFirstColumn="0" w:lastRowLastColumn="0"/>
            </w:pPr>
            <w:r>
              <w:t>More intensive, professionalised support of residents.</w:t>
            </w:r>
          </w:p>
          <w:p w14:paraId="72FA6B16" w14:textId="6FDD4B68" w:rsidR="00E720A7" w:rsidRPr="003D125B" w:rsidRDefault="00E720A7" w:rsidP="00014082">
            <w:pPr>
              <w:spacing w:after="120"/>
              <w:cnfStyle w:val="000000000000" w:firstRow="0" w:lastRow="0" w:firstColumn="0" w:lastColumn="0" w:oddVBand="0" w:evenVBand="0" w:oddHBand="0" w:evenHBand="0" w:firstRowFirstColumn="0" w:firstRowLastColumn="0" w:lastRowFirstColumn="0" w:lastRowLastColumn="0"/>
            </w:pPr>
            <w:r>
              <w:t xml:space="preserve">Providers will be able to allocate funds </w:t>
            </w:r>
            <w:r w:rsidR="00FD5E7D">
              <w:t xml:space="preserve">currently used for support and other workers </w:t>
            </w:r>
            <w:r>
              <w:t>to other priorities.</w:t>
            </w:r>
          </w:p>
        </w:tc>
        <w:tc>
          <w:tcPr>
            <w:tcW w:w="4246" w:type="dxa"/>
          </w:tcPr>
          <w:p w14:paraId="0BEB0D27" w14:textId="58FB2F33" w:rsidR="00EE6612" w:rsidRDefault="00747EC4" w:rsidP="00014082">
            <w:pPr>
              <w:spacing w:after="120"/>
              <w:cnfStyle w:val="000000000000" w:firstRow="0" w:lastRow="0" w:firstColumn="0" w:lastColumn="0" w:oddVBand="0" w:evenVBand="0" w:oddHBand="0" w:evenHBand="0" w:firstRowFirstColumn="0" w:firstRowLastColumn="0" w:lastRowFirstColumn="0" w:lastRowLastColumn="0"/>
            </w:pPr>
            <w:r>
              <w:t>Requires significant expansion of supported accommodation workforce</w:t>
            </w:r>
            <w:r w:rsidR="0014354F">
              <w:t>. Likely will require expansion of management structures.</w:t>
            </w:r>
          </w:p>
        </w:tc>
      </w:tr>
      <w:tr w:rsidR="00EE6612" w14:paraId="77286800" w14:textId="77777777" w:rsidTr="00014082">
        <w:tc>
          <w:tcPr>
            <w:cnfStyle w:val="001000000000" w:firstRow="0" w:lastRow="0" w:firstColumn="1" w:lastColumn="0" w:oddVBand="0" w:evenVBand="0" w:oddHBand="0" w:evenHBand="0" w:firstRowFirstColumn="0" w:firstRowLastColumn="0" w:lastRowFirstColumn="0" w:lastRowLastColumn="0"/>
            <w:tcW w:w="1129" w:type="dxa"/>
          </w:tcPr>
          <w:p w14:paraId="486542B8" w14:textId="77777777" w:rsidR="00EE6612" w:rsidRPr="003D125B" w:rsidRDefault="00EE6612" w:rsidP="00014082">
            <w:pPr>
              <w:spacing w:after="120"/>
            </w:pPr>
            <w:r>
              <w:t>Overall</w:t>
            </w:r>
          </w:p>
        </w:tc>
        <w:tc>
          <w:tcPr>
            <w:tcW w:w="4253" w:type="dxa"/>
          </w:tcPr>
          <w:p w14:paraId="6FBD560C" w14:textId="68210653" w:rsidR="006E463A" w:rsidRPr="003D125B" w:rsidRDefault="00DB0768" w:rsidP="006E463A">
            <w:pPr>
              <w:spacing w:after="120"/>
              <w:cnfStyle w:val="000000000000" w:firstRow="0" w:lastRow="0" w:firstColumn="0" w:lastColumn="0" w:oddVBand="0" w:evenVBand="0" w:oddHBand="0" w:evenHBand="0" w:firstRowFirstColumn="0" w:firstRowLastColumn="0" w:lastRowFirstColumn="0" w:lastRowLastColumn="0"/>
            </w:pPr>
            <w:r>
              <w:t xml:space="preserve">Most </w:t>
            </w:r>
            <w:r w:rsidR="006E463A">
              <w:t xml:space="preserve">intensive approach </w:t>
            </w:r>
            <w:r>
              <w:t xml:space="preserve">that </w:t>
            </w:r>
            <w:r w:rsidR="006E463A">
              <w:t>maximise</w:t>
            </w:r>
            <w:r w:rsidR="003070A5">
              <w:t>s</w:t>
            </w:r>
            <w:r w:rsidR="006E463A">
              <w:t xml:space="preserve"> benefits of a case management model.</w:t>
            </w:r>
          </w:p>
          <w:p w14:paraId="7983871D" w14:textId="77777777" w:rsidR="00EE6612" w:rsidRDefault="00DB0768" w:rsidP="00014082">
            <w:pPr>
              <w:spacing w:after="120"/>
              <w:cnfStyle w:val="000000000000" w:firstRow="0" w:lastRow="0" w:firstColumn="0" w:lastColumn="0" w:oddVBand="0" w:evenVBand="0" w:oddHBand="0" w:evenHBand="0" w:firstRowFirstColumn="0" w:firstRowLastColumn="0" w:lastRowFirstColumn="0" w:lastRowLastColumn="0"/>
            </w:pPr>
            <w:r>
              <w:t>Whilst not SAPA proposed model, it is still s</w:t>
            </w:r>
            <w:r w:rsidR="006E463A">
              <w:t xml:space="preserve">upported by </w:t>
            </w:r>
            <w:r>
              <w:t>providers.</w:t>
            </w:r>
          </w:p>
          <w:p w14:paraId="4D9AF5F5" w14:textId="4875BAD3" w:rsidR="00FF25E8" w:rsidRPr="003D125B" w:rsidRDefault="00FF25E8" w:rsidP="00014082">
            <w:pPr>
              <w:spacing w:after="120"/>
              <w:cnfStyle w:val="000000000000" w:firstRow="0" w:lastRow="0" w:firstColumn="0" w:lastColumn="0" w:oddVBand="0" w:evenVBand="0" w:oddHBand="0" w:evenHBand="0" w:firstRowFirstColumn="0" w:firstRowLastColumn="0" w:lastRowFirstColumn="0" w:lastRowLastColumn="0"/>
            </w:pPr>
            <w:r>
              <w:t>Will allow operators to reduce rents charged to residents.</w:t>
            </w:r>
          </w:p>
        </w:tc>
        <w:tc>
          <w:tcPr>
            <w:tcW w:w="4246" w:type="dxa"/>
          </w:tcPr>
          <w:p w14:paraId="4CDA8B8C" w14:textId="398912EB" w:rsidR="00EE6612" w:rsidRDefault="0062333B" w:rsidP="00014082">
            <w:pPr>
              <w:spacing w:after="120"/>
              <w:cnfStyle w:val="000000000000" w:firstRow="0" w:lastRow="0" w:firstColumn="0" w:lastColumn="0" w:oddVBand="0" w:evenVBand="0" w:oddHBand="0" w:evenHBand="0" w:firstRowFirstColumn="0" w:firstRowLastColumn="0" w:lastRowFirstColumn="0" w:lastRowLastColumn="0"/>
            </w:pPr>
            <w:r>
              <w:t>M</w:t>
            </w:r>
            <w:r w:rsidR="003070A5">
              <w:t>ore</w:t>
            </w:r>
            <w:r w:rsidR="006E463A">
              <w:t xml:space="preserve"> expensive model.</w:t>
            </w:r>
          </w:p>
        </w:tc>
      </w:tr>
    </w:tbl>
    <w:p w14:paraId="2477843E" w14:textId="77777777" w:rsidR="00EE6612" w:rsidRDefault="00EE6612" w:rsidP="00E63E2A">
      <w:pPr>
        <w:spacing w:after="120"/>
      </w:pPr>
    </w:p>
    <w:p w14:paraId="0ADC25D1" w14:textId="77777777" w:rsidR="0059491C" w:rsidRPr="00F528A0" w:rsidRDefault="0059491C" w:rsidP="0059491C">
      <w:pPr>
        <w:pStyle w:val="Heading1"/>
        <w:spacing w:before="120"/>
        <w:rPr>
          <w:b/>
          <w:bCs/>
          <w:sz w:val="28"/>
          <w:szCs w:val="28"/>
        </w:rPr>
      </w:pPr>
      <w:r>
        <w:rPr>
          <w:b/>
          <w:bCs/>
          <w:sz w:val="28"/>
          <w:szCs w:val="28"/>
        </w:rPr>
        <w:t>Alternative Funding Options – Victorian Government Model</w:t>
      </w:r>
    </w:p>
    <w:p w14:paraId="2C7FE369" w14:textId="3061C772" w:rsidR="004168AC" w:rsidRDefault="0059491C" w:rsidP="0059491C">
      <w:pPr>
        <w:spacing w:after="120"/>
      </w:pPr>
      <w:r w:rsidRPr="002A7485">
        <w:t xml:space="preserve">The </w:t>
      </w:r>
      <w:r>
        <w:t xml:space="preserve">Victoria Government funds the </w:t>
      </w:r>
      <w:r w:rsidRPr="002A7485">
        <w:t>Supported Residential Services Outreach and Assistance Program (SRS</w:t>
      </w:r>
      <w:r w:rsidR="0035550C">
        <w:t>-</w:t>
      </w:r>
      <w:r w:rsidRPr="002A7485">
        <w:t>OAP)</w:t>
      </w:r>
      <w:r>
        <w:t xml:space="preserve">. SRS-OAP funds health and wellbeing supports for residents of supported accommodation and funds accommodation providers to help maintain supply and ensure facilities are safe and amenable. </w:t>
      </w:r>
    </w:p>
    <w:p w14:paraId="3AA3822B" w14:textId="013FAF8B" w:rsidR="0059491C" w:rsidRDefault="0059491C" w:rsidP="0059491C">
      <w:pPr>
        <w:spacing w:after="120"/>
      </w:pPr>
      <w:r>
        <w:t xml:space="preserve">Details of </w:t>
      </w:r>
      <w:r w:rsidR="004168AC">
        <w:t xml:space="preserve">funding arrangements for this </w:t>
      </w:r>
      <w:r w:rsidR="00793B99">
        <w:t xml:space="preserve">program </w:t>
      </w:r>
      <w:r w:rsidR="004168AC">
        <w:t xml:space="preserve">are not publicly available. Further information on </w:t>
      </w:r>
      <w:r w:rsidR="00793B99">
        <w:t xml:space="preserve">this </w:t>
      </w:r>
      <w:r>
        <w:t xml:space="preserve">program </w:t>
      </w:r>
      <w:r w:rsidR="00793B99">
        <w:t xml:space="preserve">is </w:t>
      </w:r>
      <w:r>
        <w:t xml:space="preserve">at </w:t>
      </w:r>
      <w:r w:rsidRPr="009B15D2">
        <w:rPr>
          <w:u w:val="single"/>
        </w:rPr>
        <w:t>Appendix 2</w:t>
      </w:r>
      <w:r>
        <w:t>.</w:t>
      </w:r>
    </w:p>
    <w:p w14:paraId="5B849E75" w14:textId="77777777" w:rsidR="0059491C" w:rsidRDefault="0059491C" w:rsidP="00E63E2A">
      <w:pPr>
        <w:spacing w:after="120"/>
      </w:pPr>
    </w:p>
    <w:p w14:paraId="77903C99" w14:textId="77777777" w:rsidR="002C2942" w:rsidRDefault="002C2942">
      <w:pPr>
        <w:rPr>
          <w:rFonts w:asciiTheme="majorHAnsi" w:eastAsiaTheme="majorEastAsia" w:hAnsiTheme="majorHAnsi" w:cstheme="majorBidi"/>
          <w:b/>
          <w:bCs/>
          <w:color w:val="2F5496" w:themeColor="accent1" w:themeShade="BF"/>
          <w:sz w:val="28"/>
          <w:szCs w:val="28"/>
        </w:rPr>
      </w:pPr>
      <w:r>
        <w:rPr>
          <w:b/>
          <w:bCs/>
          <w:sz w:val="28"/>
          <w:szCs w:val="28"/>
        </w:rPr>
        <w:br w:type="page"/>
      </w:r>
    </w:p>
    <w:p w14:paraId="126B01BF" w14:textId="5C34FB0E" w:rsidR="00F528A0" w:rsidRPr="00F528A0" w:rsidRDefault="00F528A0" w:rsidP="00F528A0">
      <w:pPr>
        <w:pStyle w:val="Heading1"/>
        <w:spacing w:before="120"/>
        <w:rPr>
          <w:b/>
          <w:bCs/>
          <w:sz w:val="28"/>
          <w:szCs w:val="28"/>
        </w:rPr>
      </w:pPr>
      <w:r w:rsidRPr="00F528A0">
        <w:rPr>
          <w:b/>
          <w:bCs/>
          <w:sz w:val="28"/>
          <w:szCs w:val="28"/>
        </w:rPr>
        <w:lastRenderedPageBreak/>
        <w:t xml:space="preserve">Benefits of Funding </w:t>
      </w:r>
      <w:r w:rsidR="003E6F66" w:rsidRPr="00F528A0">
        <w:rPr>
          <w:b/>
          <w:bCs/>
          <w:sz w:val="28"/>
          <w:szCs w:val="28"/>
        </w:rPr>
        <w:t>Case Management and Supports</w:t>
      </w:r>
      <w:r w:rsidR="003E6F66">
        <w:rPr>
          <w:b/>
          <w:bCs/>
          <w:sz w:val="28"/>
          <w:szCs w:val="28"/>
        </w:rPr>
        <w:t xml:space="preserve"> in Supported Accommodation </w:t>
      </w:r>
    </w:p>
    <w:p w14:paraId="77079EDB" w14:textId="77777777" w:rsidR="005D5020" w:rsidRDefault="005D5020" w:rsidP="00E63E2A">
      <w:pPr>
        <w:spacing w:after="120"/>
      </w:pPr>
      <w:r>
        <w:t>As described above, i</w:t>
      </w:r>
      <w:r w:rsidR="0047638E">
        <w:t xml:space="preserve">mplementing case management </w:t>
      </w:r>
      <w:r>
        <w:t xml:space="preserve">to supported accommodation via the two models outlined </w:t>
      </w:r>
      <w:r w:rsidR="0047638E">
        <w:t xml:space="preserve">will accrue benefits </w:t>
      </w:r>
      <w:r w:rsidR="00964B00">
        <w:t>to residents, supported accommodation providers, and the community and government.</w:t>
      </w:r>
      <w:r w:rsidR="002735FC">
        <w:t xml:space="preserve"> </w:t>
      </w:r>
    </w:p>
    <w:p w14:paraId="79A50E74" w14:textId="77777777" w:rsidR="002C4038" w:rsidRPr="008A060E" w:rsidRDefault="002C4038" w:rsidP="008A060E">
      <w:pPr>
        <w:pStyle w:val="Heading1"/>
        <w:spacing w:before="120" w:after="80" w:line="278" w:lineRule="auto"/>
        <w:rPr>
          <w:b/>
          <w:bCs/>
          <w:kern w:val="2"/>
          <w:sz w:val="24"/>
          <w:szCs w:val="24"/>
          <w14:ligatures w14:val="standardContextual"/>
        </w:rPr>
      </w:pPr>
      <w:r w:rsidRPr="008A060E">
        <w:rPr>
          <w:b/>
          <w:bCs/>
          <w:kern w:val="2"/>
          <w:sz w:val="24"/>
          <w:szCs w:val="24"/>
          <w14:ligatures w14:val="standardContextual"/>
        </w:rPr>
        <w:t>Benefit – Prevention of Homelessness</w:t>
      </w:r>
    </w:p>
    <w:p w14:paraId="12444F4D" w14:textId="7C41909E" w:rsidR="00594B7A" w:rsidRDefault="004270F9" w:rsidP="00DC2CD3">
      <w:pPr>
        <w:spacing w:after="120"/>
      </w:pPr>
      <w:r>
        <w:t xml:space="preserve">The </w:t>
      </w:r>
      <w:r w:rsidR="00710124">
        <w:t xml:space="preserve">key measurable benefit that can be quantified is the ability of supported accommodation to </w:t>
      </w:r>
      <w:r w:rsidR="00710124" w:rsidRPr="00DC2CD3">
        <w:rPr>
          <w:b/>
          <w:bCs/>
        </w:rPr>
        <w:t>prevent homelessness</w:t>
      </w:r>
      <w:r w:rsidR="00710124">
        <w:t xml:space="preserve"> amongst many of its residents</w:t>
      </w:r>
      <w:r w:rsidR="00DC2CD3">
        <w:t xml:space="preserve"> </w:t>
      </w:r>
      <w:r w:rsidR="00594B7A">
        <w:t xml:space="preserve">– without supported accommodation, it is more than likely that the resident would be homeless. The report </w:t>
      </w:r>
      <w:r w:rsidR="00594B7A" w:rsidRPr="00602937">
        <w:rPr>
          <w:i/>
          <w:iCs/>
        </w:rPr>
        <w:t>Ending Homelessness Through Permanent Supportive Housing: A Cost Offset Update</w:t>
      </w:r>
      <w:r w:rsidR="00594B7A">
        <w:t xml:space="preserve"> estimates that “</w:t>
      </w:r>
      <w:r w:rsidR="00594B7A" w:rsidRPr="00E25D8F">
        <w:t>people who were chronically homeless in Brisbane would use Queensland Government services that cost approximately $64,273.26</w:t>
      </w:r>
      <w:r w:rsidR="001C3AFC">
        <w:t xml:space="preserve"> annually</w:t>
      </w:r>
      <w:r w:rsidR="00594B7A">
        <w:t>”.</w:t>
      </w:r>
    </w:p>
    <w:p w14:paraId="61A2E6A2" w14:textId="2E00659F" w:rsidR="00594B7A" w:rsidRDefault="00594B7A" w:rsidP="00594B7A">
      <w:pPr>
        <w:spacing w:after="120"/>
      </w:pPr>
      <w:r w:rsidRPr="00CE15C0">
        <w:t xml:space="preserve">For the benefit analysis, </w:t>
      </w:r>
      <w:r>
        <w:t>it is assumed that supported accommodation prevents homeless for 54</w:t>
      </w:r>
      <w:r w:rsidR="0035550C">
        <w:t xml:space="preserve"> per cent</w:t>
      </w:r>
      <w:r>
        <w:t xml:space="preserve"> of all residents – i.e. those who are at imminent risk of homelessness. This has been calculated based on the </w:t>
      </w:r>
      <w:r w:rsidR="00CE4188">
        <w:t>SAPA Resident Needs Report</w:t>
      </w:r>
      <w:r w:rsidR="00CE4188" w:rsidRPr="00CE15C0">
        <w:t xml:space="preserve"> </w:t>
      </w:r>
      <w:r w:rsidR="00CE4188">
        <w:t xml:space="preserve">data for the </w:t>
      </w:r>
      <w:r w:rsidRPr="00CE15C0">
        <w:t>following referral points: lack of suitable housing (36.9</w:t>
      </w:r>
      <w:r w:rsidR="0035550C">
        <w:t xml:space="preserve"> per cent</w:t>
      </w:r>
      <w:r w:rsidRPr="00CE15C0">
        <w:t>); institutional exit (11.3</w:t>
      </w:r>
      <w:r w:rsidR="0035550C">
        <w:t xml:space="preserve"> per cent</w:t>
      </w:r>
      <w:r w:rsidRPr="00CE15C0">
        <w:t>); tenancy at risk (5.4</w:t>
      </w:r>
      <w:r w:rsidR="0035550C">
        <w:t xml:space="preserve"> per cent</w:t>
      </w:r>
      <w:r w:rsidRPr="00CE15C0">
        <w:t>); and financial issues (0.4</w:t>
      </w:r>
      <w:r w:rsidR="0035550C">
        <w:t xml:space="preserve"> per cent</w:t>
      </w:r>
      <w:r w:rsidRPr="00CE15C0">
        <w:t>)</w:t>
      </w:r>
      <w:r>
        <w:t>.</w:t>
      </w:r>
    </w:p>
    <w:p w14:paraId="4176AE64" w14:textId="77777777" w:rsidR="00594B7A" w:rsidRDefault="00594B7A" w:rsidP="00594B7A">
      <w:pPr>
        <w:spacing w:after="120"/>
      </w:pPr>
      <w:r w:rsidRPr="00CE15C0">
        <w:t>Given supported accommodation residents would still be above average users of emergency services and hospitals</w:t>
      </w:r>
      <w:r>
        <w:t>, not all costs of homelessness would be avoided. For each model, it is assumed that the more intensive the case management, the higher the savings achieved.</w:t>
      </w:r>
    </w:p>
    <w:p w14:paraId="010D0E7E" w14:textId="77777777" w:rsidR="00594B7A" w:rsidRDefault="00594B7A" w:rsidP="00594B7A">
      <w:pPr>
        <w:spacing w:after="120"/>
      </w:pPr>
      <w:r>
        <w:t>Based on the above assumptions and the current cohort of 1,237 residents, the calculable benefits of each model would be:</w:t>
      </w:r>
    </w:p>
    <w:tbl>
      <w:tblPr>
        <w:tblStyle w:val="GridTable1Light"/>
        <w:tblW w:w="0" w:type="auto"/>
        <w:tblLook w:val="04A0" w:firstRow="1" w:lastRow="0" w:firstColumn="1" w:lastColumn="0" w:noHBand="0" w:noVBand="1"/>
      </w:tblPr>
      <w:tblGrid>
        <w:gridCol w:w="2253"/>
        <w:gridCol w:w="2254"/>
        <w:gridCol w:w="2254"/>
        <w:gridCol w:w="2255"/>
      </w:tblGrid>
      <w:tr w:rsidR="00594B7A" w14:paraId="36579A13" w14:textId="77777777" w:rsidTr="00014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6CF1BB48" w14:textId="77777777" w:rsidR="00594B7A" w:rsidRDefault="00594B7A" w:rsidP="00014082">
            <w:pPr>
              <w:spacing w:after="120"/>
            </w:pPr>
            <w:r>
              <w:t>Model</w:t>
            </w:r>
          </w:p>
        </w:tc>
        <w:tc>
          <w:tcPr>
            <w:tcW w:w="2254" w:type="dxa"/>
          </w:tcPr>
          <w:p w14:paraId="10AAAC40" w14:textId="77777777" w:rsidR="00594B7A" w:rsidRDefault="00594B7A" w:rsidP="0035550C">
            <w:pPr>
              <w:spacing w:after="120"/>
              <w:jc w:val="center"/>
              <w:cnfStyle w:val="100000000000" w:firstRow="1" w:lastRow="0" w:firstColumn="0" w:lastColumn="0" w:oddVBand="0" w:evenVBand="0" w:oddHBand="0" w:evenHBand="0" w:firstRowFirstColumn="0" w:firstRowLastColumn="0" w:lastRowFirstColumn="0" w:lastRowLastColumn="0"/>
            </w:pPr>
            <w:r>
              <w:t>Case Manager and Viability Subsidy</w:t>
            </w:r>
          </w:p>
        </w:tc>
        <w:tc>
          <w:tcPr>
            <w:tcW w:w="2254" w:type="dxa"/>
          </w:tcPr>
          <w:p w14:paraId="7E9ED243" w14:textId="77777777" w:rsidR="00594B7A" w:rsidRDefault="00594B7A" w:rsidP="0035550C">
            <w:pPr>
              <w:spacing w:after="120"/>
              <w:jc w:val="center"/>
              <w:cnfStyle w:val="100000000000" w:firstRow="1" w:lastRow="0" w:firstColumn="0" w:lastColumn="0" w:oddVBand="0" w:evenVBand="0" w:oddHBand="0" w:evenHBand="0" w:firstRowFirstColumn="0" w:firstRowLastColumn="0" w:lastRowFirstColumn="0" w:lastRowLastColumn="0"/>
            </w:pPr>
            <w:r>
              <w:t>Case Manager and Support Workers</w:t>
            </w:r>
          </w:p>
        </w:tc>
        <w:tc>
          <w:tcPr>
            <w:tcW w:w="2255" w:type="dxa"/>
          </w:tcPr>
          <w:p w14:paraId="2DF54B54" w14:textId="77777777" w:rsidR="00594B7A" w:rsidRDefault="00594B7A" w:rsidP="0035550C">
            <w:pPr>
              <w:spacing w:after="120"/>
              <w:jc w:val="center"/>
              <w:cnfStyle w:val="100000000000" w:firstRow="1" w:lastRow="0" w:firstColumn="0" w:lastColumn="0" w:oddVBand="0" w:evenVBand="0" w:oddHBand="0" w:evenHBand="0" w:firstRowFirstColumn="0" w:firstRowLastColumn="0" w:lastRowFirstColumn="0" w:lastRowLastColumn="0"/>
            </w:pPr>
            <w:r>
              <w:t>Case Manager and Additional Support Workers</w:t>
            </w:r>
          </w:p>
        </w:tc>
      </w:tr>
      <w:tr w:rsidR="00594B7A" w14:paraId="0AB7FDD2" w14:textId="77777777" w:rsidTr="00014082">
        <w:tc>
          <w:tcPr>
            <w:cnfStyle w:val="001000000000" w:firstRow="0" w:lastRow="0" w:firstColumn="1" w:lastColumn="0" w:oddVBand="0" w:evenVBand="0" w:oddHBand="0" w:evenHBand="0" w:firstRowFirstColumn="0" w:firstRowLastColumn="0" w:lastRowFirstColumn="0" w:lastRowLastColumn="0"/>
            <w:tcW w:w="2253" w:type="dxa"/>
          </w:tcPr>
          <w:p w14:paraId="59BEAC75" w14:textId="77777777" w:rsidR="00594B7A" w:rsidRDefault="00594B7A" w:rsidP="00014082">
            <w:pPr>
              <w:spacing w:after="120"/>
            </w:pPr>
            <w:r>
              <w:t>Residents</w:t>
            </w:r>
          </w:p>
        </w:tc>
        <w:tc>
          <w:tcPr>
            <w:tcW w:w="2254" w:type="dxa"/>
          </w:tcPr>
          <w:p w14:paraId="02EAF161" w14:textId="77777777" w:rsidR="00594B7A" w:rsidRDefault="00594B7A"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r>
              <w:t>1,237</w:t>
            </w:r>
          </w:p>
        </w:tc>
        <w:tc>
          <w:tcPr>
            <w:tcW w:w="2254" w:type="dxa"/>
          </w:tcPr>
          <w:p w14:paraId="0A3AC6CC" w14:textId="77777777" w:rsidR="00594B7A" w:rsidRDefault="00594B7A"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r>
              <w:t>1,237</w:t>
            </w:r>
          </w:p>
        </w:tc>
        <w:tc>
          <w:tcPr>
            <w:tcW w:w="2255" w:type="dxa"/>
          </w:tcPr>
          <w:p w14:paraId="0BE92834" w14:textId="77777777" w:rsidR="00594B7A" w:rsidRDefault="00594B7A"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r>
              <w:t>1,237</w:t>
            </w:r>
          </w:p>
        </w:tc>
      </w:tr>
      <w:tr w:rsidR="00594B7A" w14:paraId="1059E6A0" w14:textId="77777777" w:rsidTr="00014082">
        <w:tc>
          <w:tcPr>
            <w:cnfStyle w:val="001000000000" w:firstRow="0" w:lastRow="0" w:firstColumn="1" w:lastColumn="0" w:oddVBand="0" w:evenVBand="0" w:oddHBand="0" w:evenHBand="0" w:firstRowFirstColumn="0" w:firstRowLastColumn="0" w:lastRowFirstColumn="0" w:lastRowLastColumn="0"/>
            <w:tcW w:w="2253" w:type="dxa"/>
          </w:tcPr>
          <w:p w14:paraId="4F910894" w14:textId="77777777" w:rsidR="00594B7A" w:rsidRDefault="00594B7A" w:rsidP="00014082">
            <w:pPr>
              <w:spacing w:after="120"/>
            </w:pPr>
            <w:r>
              <w:t>Imminent Risk of Homelessness</w:t>
            </w:r>
          </w:p>
        </w:tc>
        <w:tc>
          <w:tcPr>
            <w:tcW w:w="2254" w:type="dxa"/>
          </w:tcPr>
          <w:p w14:paraId="0A02FDE9" w14:textId="51A9AB04" w:rsidR="00594B7A" w:rsidRDefault="00594B7A"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r>
              <w:t>54</w:t>
            </w:r>
            <w:r w:rsidR="0035550C">
              <w:t xml:space="preserve"> per cent</w:t>
            </w:r>
          </w:p>
        </w:tc>
        <w:tc>
          <w:tcPr>
            <w:tcW w:w="2254" w:type="dxa"/>
          </w:tcPr>
          <w:p w14:paraId="2FD38A45" w14:textId="7213BA06" w:rsidR="00594B7A" w:rsidRDefault="00594B7A"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r>
              <w:t>54</w:t>
            </w:r>
            <w:r w:rsidR="0035550C">
              <w:t xml:space="preserve"> per cent</w:t>
            </w:r>
          </w:p>
        </w:tc>
        <w:tc>
          <w:tcPr>
            <w:tcW w:w="2255" w:type="dxa"/>
          </w:tcPr>
          <w:p w14:paraId="616C3C80" w14:textId="13FD367C" w:rsidR="00594B7A" w:rsidRDefault="00594B7A"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r>
              <w:t>54</w:t>
            </w:r>
            <w:r w:rsidR="0035550C">
              <w:t xml:space="preserve"> per cent</w:t>
            </w:r>
          </w:p>
        </w:tc>
      </w:tr>
      <w:tr w:rsidR="00594B7A" w14:paraId="640F32B8" w14:textId="77777777" w:rsidTr="00014082">
        <w:tc>
          <w:tcPr>
            <w:cnfStyle w:val="001000000000" w:firstRow="0" w:lastRow="0" w:firstColumn="1" w:lastColumn="0" w:oddVBand="0" w:evenVBand="0" w:oddHBand="0" w:evenHBand="0" w:firstRowFirstColumn="0" w:firstRowLastColumn="0" w:lastRowFirstColumn="0" w:lastRowLastColumn="0"/>
            <w:tcW w:w="2253" w:type="dxa"/>
          </w:tcPr>
          <w:p w14:paraId="63F13FB8" w14:textId="77777777" w:rsidR="00594B7A" w:rsidRDefault="00594B7A" w:rsidP="00014082">
            <w:pPr>
              <w:spacing w:after="120"/>
            </w:pPr>
            <w:r>
              <w:t>Cost of homelessness (per resident)</w:t>
            </w:r>
          </w:p>
        </w:tc>
        <w:tc>
          <w:tcPr>
            <w:tcW w:w="2254" w:type="dxa"/>
          </w:tcPr>
          <w:p w14:paraId="39266D81" w14:textId="77777777" w:rsidR="00594B7A" w:rsidRDefault="00594B7A"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r>
              <w:t>$64,273</w:t>
            </w:r>
          </w:p>
        </w:tc>
        <w:tc>
          <w:tcPr>
            <w:tcW w:w="2254" w:type="dxa"/>
          </w:tcPr>
          <w:p w14:paraId="1243CAC7" w14:textId="77777777" w:rsidR="00594B7A" w:rsidRDefault="00594B7A"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r>
              <w:t>$64,273</w:t>
            </w:r>
          </w:p>
        </w:tc>
        <w:tc>
          <w:tcPr>
            <w:tcW w:w="2255" w:type="dxa"/>
          </w:tcPr>
          <w:p w14:paraId="4DC6F0C2" w14:textId="77777777" w:rsidR="00594B7A" w:rsidRDefault="00594B7A"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r>
              <w:t>$64,273</w:t>
            </w:r>
          </w:p>
        </w:tc>
      </w:tr>
      <w:tr w:rsidR="00594B7A" w14:paraId="77A2CD04" w14:textId="77777777" w:rsidTr="00014082">
        <w:tc>
          <w:tcPr>
            <w:cnfStyle w:val="001000000000" w:firstRow="0" w:lastRow="0" w:firstColumn="1" w:lastColumn="0" w:oddVBand="0" w:evenVBand="0" w:oddHBand="0" w:evenHBand="0" w:firstRowFirstColumn="0" w:firstRowLastColumn="0" w:lastRowFirstColumn="0" w:lastRowLastColumn="0"/>
            <w:tcW w:w="2253" w:type="dxa"/>
          </w:tcPr>
          <w:p w14:paraId="36199A6E" w14:textId="77777777" w:rsidR="00594B7A" w:rsidRDefault="00594B7A" w:rsidP="00014082">
            <w:pPr>
              <w:spacing w:after="120"/>
            </w:pPr>
            <w:r>
              <w:t>Anticipated Cost Savings</w:t>
            </w:r>
          </w:p>
        </w:tc>
        <w:tc>
          <w:tcPr>
            <w:tcW w:w="2254" w:type="dxa"/>
          </w:tcPr>
          <w:p w14:paraId="0F4642C8" w14:textId="4CB0350D" w:rsidR="00594B7A" w:rsidRDefault="00594B7A"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r>
              <w:t>40</w:t>
            </w:r>
            <w:r w:rsidR="0035550C">
              <w:t xml:space="preserve"> per cent</w:t>
            </w:r>
          </w:p>
        </w:tc>
        <w:tc>
          <w:tcPr>
            <w:tcW w:w="2254" w:type="dxa"/>
          </w:tcPr>
          <w:p w14:paraId="157CBDD0" w14:textId="469FA75B" w:rsidR="00594B7A" w:rsidRDefault="00594B7A"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r>
              <w:t>70</w:t>
            </w:r>
            <w:r w:rsidR="0035550C">
              <w:t xml:space="preserve"> per cent</w:t>
            </w:r>
          </w:p>
        </w:tc>
        <w:tc>
          <w:tcPr>
            <w:tcW w:w="2255" w:type="dxa"/>
          </w:tcPr>
          <w:p w14:paraId="6D8A8F27" w14:textId="6B73FF10" w:rsidR="00594B7A" w:rsidRDefault="00594B7A"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r>
              <w:t>80</w:t>
            </w:r>
            <w:r w:rsidR="0035550C">
              <w:t xml:space="preserve"> pe cent</w:t>
            </w:r>
          </w:p>
        </w:tc>
      </w:tr>
      <w:tr w:rsidR="00594B7A" w:rsidRPr="00CE15C0" w14:paraId="48B4E778" w14:textId="77777777" w:rsidTr="00014082">
        <w:tc>
          <w:tcPr>
            <w:cnfStyle w:val="001000000000" w:firstRow="0" w:lastRow="0" w:firstColumn="1" w:lastColumn="0" w:oddVBand="0" w:evenVBand="0" w:oddHBand="0" w:evenHBand="0" w:firstRowFirstColumn="0" w:firstRowLastColumn="0" w:lastRowFirstColumn="0" w:lastRowLastColumn="0"/>
            <w:tcW w:w="2253" w:type="dxa"/>
          </w:tcPr>
          <w:p w14:paraId="3BA00A6A" w14:textId="77777777" w:rsidR="00594B7A" w:rsidRPr="00CE15C0" w:rsidRDefault="00594B7A" w:rsidP="00014082">
            <w:pPr>
              <w:spacing w:after="120"/>
              <w:rPr>
                <w:sz w:val="24"/>
                <w:szCs w:val="24"/>
              </w:rPr>
            </w:pPr>
            <w:r w:rsidRPr="00CE15C0">
              <w:rPr>
                <w:sz w:val="24"/>
                <w:szCs w:val="24"/>
              </w:rPr>
              <w:t>Annual Benefits</w:t>
            </w:r>
          </w:p>
        </w:tc>
        <w:tc>
          <w:tcPr>
            <w:tcW w:w="2254" w:type="dxa"/>
          </w:tcPr>
          <w:p w14:paraId="05BC5702" w14:textId="77777777" w:rsidR="00594B7A" w:rsidRPr="00CE15C0" w:rsidRDefault="00594B7A" w:rsidP="0035550C">
            <w:pPr>
              <w:spacing w:after="120"/>
              <w:ind w:right="293"/>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E15C0">
              <w:rPr>
                <w:b/>
                <w:bCs/>
                <w:sz w:val="24"/>
                <w:szCs w:val="24"/>
              </w:rPr>
              <w:t>$17.17M</w:t>
            </w:r>
          </w:p>
        </w:tc>
        <w:tc>
          <w:tcPr>
            <w:tcW w:w="2254" w:type="dxa"/>
          </w:tcPr>
          <w:p w14:paraId="25629AAE" w14:textId="77777777" w:rsidR="00594B7A" w:rsidRPr="00CE15C0" w:rsidRDefault="00594B7A" w:rsidP="0035550C">
            <w:pPr>
              <w:spacing w:after="120"/>
              <w:ind w:right="281"/>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E15C0">
              <w:rPr>
                <w:b/>
                <w:bCs/>
                <w:sz w:val="24"/>
                <w:szCs w:val="24"/>
              </w:rPr>
              <w:t>$30.05M</w:t>
            </w:r>
          </w:p>
        </w:tc>
        <w:tc>
          <w:tcPr>
            <w:tcW w:w="2255" w:type="dxa"/>
          </w:tcPr>
          <w:p w14:paraId="52D4CC78" w14:textId="77777777" w:rsidR="00594B7A" w:rsidRPr="00CE15C0" w:rsidRDefault="00594B7A" w:rsidP="0035550C">
            <w:pPr>
              <w:spacing w:after="120"/>
              <w:ind w:right="269"/>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E15C0">
              <w:rPr>
                <w:b/>
                <w:bCs/>
                <w:sz w:val="24"/>
                <w:szCs w:val="24"/>
              </w:rPr>
              <w:t>$34.35M</w:t>
            </w:r>
          </w:p>
        </w:tc>
      </w:tr>
    </w:tbl>
    <w:p w14:paraId="5F20B232" w14:textId="77777777" w:rsidR="00594B7A" w:rsidRDefault="00594B7A" w:rsidP="00594B7A">
      <w:pPr>
        <w:spacing w:after="120"/>
      </w:pPr>
    </w:p>
    <w:p w14:paraId="4F610E29" w14:textId="3C65FC90" w:rsidR="003252C7" w:rsidRPr="0006303F" w:rsidRDefault="003252C7" w:rsidP="003252C7">
      <w:pPr>
        <w:pStyle w:val="Heading1"/>
        <w:spacing w:before="120"/>
        <w:rPr>
          <w:b/>
          <w:bCs/>
          <w:sz w:val="24"/>
          <w:szCs w:val="24"/>
        </w:rPr>
      </w:pPr>
      <w:r>
        <w:rPr>
          <w:b/>
          <w:bCs/>
          <w:sz w:val="24"/>
          <w:szCs w:val="24"/>
        </w:rPr>
        <w:t xml:space="preserve">Benefits for </w:t>
      </w:r>
      <w:r w:rsidRPr="0006303F">
        <w:rPr>
          <w:b/>
          <w:bCs/>
          <w:sz w:val="24"/>
          <w:szCs w:val="24"/>
        </w:rPr>
        <w:t>Residents</w:t>
      </w:r>
    </w:p>
    <w:p w14:paraId="59692B5C" w14:textId="77777777" w:rsidR="003252C7" w:rsidRDefault="003252C7" w:rsidP="003252C7">
      <w:pPr>
        <w:spacing w:after="120"/>
      </w:pPr>
      <w:r>
        <w:t xml:space="preserve">With funded case management, providers have stated that they will be able to </w:t>
      </w:r>
      <w:r w:rsidRPr="009774B9">
        <w:rPr>
          <w:b/>
          <w:bCs/>
        </w:rPr>
        <w:t>reduce rents for residents</w:t>
      </w:r>
      <w:r>
        <w:t xml:space="preserve">. This would result in more disposable income and increased choices for residents. </w:t>
      </w:r>
    </w:p>
    <w:p w14:paraId="32B15AEA" w14:textId="4A106024" w:rsidR="003252C7" w:rsidRDefault="003252C7" w:rsidP="003252C7">
      <w:pPr>
        <w:spacing w:after="120"/>
      </w:pPr>
      <w:r>
        <w:t>Level 2 rents are commonly 15 to 25</w:t>
      </w:r>
      <w:r w:rsidR="0035550C">
        <w:t xml:space="preserve"> per cent</w:t>
      </w:r>
      <w:r>
        <w:t xml:space="preserve"> cheaper than Level 3. For a resident on a </w:t>
      </w:r>
      <w:r w:rsidR="0035550C">
        <w:t>DSP</w:t>
      </w:r>
      <w:r>
        <w:t xml:space="preserve"> this would be a saving of $170 to $280 per person (or </w:t>
      </w:r>
      <w:r w:rsidRPr="00E2679B">
        <w:rPr>
          <w:b/>
          <w:bCs/>
        </w:rPr>
        <w:t>$5.7 million to $9.5 million per year</w:t>
      </w:r>
      <w:r>
        <w:t xml:space="preserve"> across the sector).</w:t>
      </w:r>
      <w:r w:rsidR="00C51186">
        <w:t xml:space="preserve"> Savings would be higher for Model 2 due to the higher income </w:t>
      </w:r>
      <w:r w:rsidR="0075047C">
        <w:t>going to providers.</w:t>
      </w:r>
    </w:p>
    <w:p w14:paraId="58F98B76" w14:textId="662FCBD8" w:rsidR="003252C7" w:rsidRDefault="003252C7" w:rsidP="003252C7">
      <w:pPr>
        <w:spacing w:after="120"/>
      </w:pPr>
      <w:r>
        <w:t>Unless on a pension (DSP or A</w:t>
      </w:r>
      <w:r w:rsidR="0062333B">
        <w:t xml:space="preserve">ge </w:t>
      </w:r>
      <w:r>
        <w:t>P</w:t>
      </w:r>
      <w:r w:rsidR="0062333B">
        <w:t>ension</w:t>
      </w:r>
      <w:r>
        <w:t>) or employed, supported accommodation would not be affordable for an individual. On a Level 2 rent, people on non-pension benefits (e.g. Newstart Allowance) may be able to afford supported accommodation.</w:t>
      </w:r>
    </w:p>
    <w:p w14:paraId="4620AB6A" w14:textId="2A2A5067" w:rsidR="00AA5BA8" w:rsidRPr="0006303F" w:rsidRDefault="00AA5BA8" w:rsidP="00AA5BA8">
      <w:pPr>
        <w:pStyle w:val="Heading1"/>
        <w:spacing w:before="120"/>
        <w:rPr>
          <w:b/>
          <w:bCs/>
          <w:sz w:val="24"/>
          <w:szCs w:val="24"/>
        </w:rPr>
      </w:pPr>
      <w:r>
        <w:rPr>
          <w:b/>
          <w:bCs/>
          <w:sz w:val="24"/>
          <w:szCs w:val="24"/>
        </w:rPr>
        <w:lastRenderedPageBreak/>
        <w:t xml:space="preserve">Benefits for </w:t>
      </w:r>
      <w:r w:rsidRPr="0006303F">
        <w:rPr>
          <w:b/>
          <w:bCs/>
          <w:sz w:val="24"/>
          <w:szCs w:val="24"/>
        </w:rPr>
        <w:t>Providers</w:t>
      </w:r>
    </w:p>
    <w:p w14:paraId="6E5CCD68" w14:textId="69B33F18" w:rsidR="00AA5BA8" w:rsidRDefault="00AA5BA8" w:rsidP="00AA5BA8">
      <w:pPr>
        <w:spacing w:after="120"/>
      </w:pPr>
      <w:r>
        <w:t xml:space="preserve">For supported accommodation providers, the funding of case managers and support workers would reduce the </w:t>
      </w:r>
      <w:r w:rsidRPr="009774B9">
        <w:rPr>
          <w:b/>
          <w:bCs/>
        </w:rPr>
        <w:t xml:space="preserve">costs </w:t>
      </w:r>
      <w:r>
        <w:rPr>
          <w:b/>
          <w:bCs/>
        </w:rPr>
        <w:t>related to damage</w:t>
      </w:r>
      <w:r>
        <w:t xml:space="preserve">. Limited data shows outstanding repair costs of $1,000 per resident – applying an average repair cost of $1,000 per resident for the total cohort would be </w:t>
      </w:r>
      <w:r w:rsidRPr="00702968">
        <w:rPr>
          <w:b/>
          <w:bCs/>
        </w:rPr>
        <w:t>$1.2</w:t>
      </w:r>
      <w:r w:rsidR="009F4178">
        <w:rPr>
          <w:b/>
          <w:bCs/>
        </w:rPr>
        <w:t>3</w:t>
      </w:r>
      <w:r w:rsidRPr="00702968">
        <w:rPr>
          <w:b/>
          <w:bCs/>
        </w:rPr>
        <w:t>7 millio</w:t>
      </w:r>
      <w:r>
        <w:rPr>
          <w:b/>
          <w:bCs/>
        </w:rPr>
        <w:t>n</w:t>
      </w:r>
      <w:r w:rsidRPr="00702968">
        <w:rPr>
          <w:b/>
          <w:bCs/>
        </w:rPr>
        <w:t xml:space="preserve"> per year</w:t>
      </w:r>
      <w:r>
        <w:t>.</w:t>
      </w:r>
    </w:p>
    <w:p w14:paraId="79410F0E" w14:textId="77777777" w:rsidR="00AA5BA8" w:rsidRDefault="00AA5BA8" w:rsidP="00AA5BA8">
      <w:pPr>
        <w:spacing w:after="120"/>
      </w:pPr>
      <w:r>
        <w:t>Case managers will support residents to receive services under the NDIS and My Aged Care. This will take pressure off the supports provided by providers and allow increased services and provision of activities for all residents.</w:t>
      </w:r>
    </w:p>
    <w:p w14:paraId="52810B4E" w14:textId="3821AA5F" w:rsidR="006C13FB" w:rsidRPr="0006303F" w:rsidRDefault="006C13FB" w:rsidP="006C13FB">
      <w:pPr>
        <w:pStyle w:val="Heading1"/>
        <w:spacing w:before="120"/>
        <w:rPr>
          <w:b/>
          <w:bCs/>
          <w:sz w:val="24"/>
          <w:szCs w:val="24"/>
        </w:rPr>
      </w:pPr>
      <w:r>
        <w:rPr>
          <w:b/>
          <w:bCs/>
          <w:sz w:val="24"/>
          <w:szCs w:val="24"/>
        </w:rPr>
        <w:t xml:space="preserve">Benefits for </w:t>
      </w:r>
      <w:r w:rsidRPr="0006303F">
        <w:rPr>
          <w:b/>
          <w:bCs/>
          <w:sz w:val="24"/>
          <w:szCs w:val="24"/>
        </w:rPr>
        <w:t>Government/Community</w:t>
      </w:r>
    </w:p>
    <w:p w14:paraId="570F0B4F" w14:textId="77777777" w:rsidR="002A2918" w:rsidRDefault="002A2918" w:rsidP="002A2918">
      <w:pPr>
        <w:spacing w:after="120"/>
      </w:pPr>
      <w:r>
        <w:t xml:space="preserve">A separate measure (which would be included in the homelessness estimate) is a reduction in emergency/crisis services for supported accommodation residents. </w:t>
      </w:r>
    </w:p>
    <w:p w14:paraId="7731BA06" w14:textId="5CEFB765" w:rsidR="002A2918" w:rsidRDefault="002A2918" w:rsidP="002A2918">
      <w:pPr>
        <w:spacing w:after="120"/>
      </w:pPr>
      <w:r>
        <w:t xml:space="preserve">The Independent Health and Aged Care Pricing Authority estimates that a presentation to a </w:t>
      </w:r>
      <w:r w:rsidR="0035550C">
        <w:t>Queensland Emergency Department cost</w:t>
      </w:r>
      <w:r>
        <w:t xml:space="preserve"> on average $663 per instance. According to the evaluation of the SAPA Resident Needs Screening Tool, there are over 3,000 emergency department presentations every year. Emergency </w:t>
      </w:r>
      <w:r w:rsidR="0035550C">
        <w:t>D</w:t>
      </w:r>
      <w:r>
        <w:t xml:space="preserve">epartment presentations for supported accommodation residents would total an estimated $2.0 million per year. Under a case management model where health conditions would be better managed and behaviours would not escalate, it would be expected that presentations would be reduced by </w:t>
      </w:r>
      <w:r w:rsidR="0078213F">
        <w:t>40 to 70</w:t>
      </w:r>
      <w:r w:rsidR="0035550C">
        <w:t xml:space="preserve"> per cent </w:t>
      </w:r>
      <w:r w:rsidR="0078213F">
        <w:t>depending on the intensity of case management</w:t>
      </w:r>
      <w:r>
        <w:t xml:space="preserve"> – resulting in </w:t>
      </w:r>
      <w:r w:rsidRPr="00730EC5">
        <w:rPr>
          <w:b/>
          <w:bCs/>
        </w:rPr>
        <w:t>emergency department savings of $0</w:t>
      </w:r>
      <w:r w:rsidR="006A5358">
        <w:rPr>
          <w:b/>
          <w:bCs/>
        </w:rPr>
        <w:t>.8</w:t>
      </w:r>
      <w:r w:rsidRPr="00730EC5">
        <w:rPr>
          <w:b/>
          <w:bCs/>
        </w:rPr>
        <w:t xml:space="preserve"> million </w:t>
      </w:r>
      <w:r w:rsidR="006A5358">
        <w:rPr>
          <w:b/>
          <w:bCs/>
        </w:rPr>
        <w:t xml:space="preserve">to $1.3 million </w:t>
      </w:r>
      <w:r w:rsidRPr="00730EC5">
        <w:rPr>
          <w:b/>
          <w:bCs/>
        </w:rPr>
        <w:t>per year</w:t>
      </w:r>
      <w:r>
        <w:t>.</w:t>
      </w:r>
    </w:p>
    <w:p w14:paraId="49BA80B3" w14:textId="51E13F64" w:rsidR="002A2918" w:rsidRDefault="002A2918" w:rsidP="002A2918">
      <w:pPr>
        <w:keepLines/>
        <w:spacing w:after="120"/>
      </w:pPr>
      <w:r>
        <w:t>Using data from the Report on Government Services 2025, the average cost of an ambulance callout in Queensland is $994 per instance. According to the evaluation of the SAPA Resident Needs Screening Tool, there are nearly 2,500 ambulance callouts to a supported accommodation facility every year. Ambulance callouts for supported accommodation would total and estimated $2.5 million per year. Under a case management model where resident crises would be better managed, it would be expected that callouts would be reduced by 60</w:t>
      </w:r>
      <w:r w:rsidR="0035550C">
        <w:t xml:space="preserve"> per cent</w:t>
      </w:r>
      <w:r>
        <w:t xml:space="preserve"> - resulting in </w:t>
      </w:r>
      <w:r>
        <w:rPr>
          <w:b/>
          <w:bCs/>
        </w:rPr>
        <w:t xml:space="preserve">ambulance callout </w:t>
      </w:r>
      <w:r w:rsidRPr="00730EC5">
        <w:rPr>
          <w:b/>
          <w:bCs/>
        </w:rPr>
        <w:t>savings of $</w:t>
      </w:r>
      <w:r w:rsidR="004357B4">
        <w:rPr>
          <w:b/>
          <w:bCs/>
        </w:rPr>
        <w:t>0.9</w:t>
      </w:r>
      <w:r w:rsidR="004357B4" w:rsidRPr="00730EC5">
        <w:rPr>
          <w:b/>
          <w:bCs/>
        </w:rPr>
        <w:t> million</w:t>
      </w:r>
      <w:r w:rsidR="004357B4">
        <w:rPr>
          <w:b/>
          <w:bCs/>
        </w:rPr>
        <w:t xml:space="preserve"> to $</w:t>
      </w:r>
      <w:r w:rsidRPr="00730EC5">
        <w:rPr>
          <w:b/>
          <w:bCs/>
        </w:rPr>
        <w:t>1.</w:t>
      </w:r>
      <w:r w:rsidR="004357B4">
        <w:rPr>
          <w:b/>
          <w:bCs/>
        </w:rPr>
        <w:t>7</w:t>
      </w:r>
      <w:r w:rsidRPr="00730EC5">
        <w:rPr>
          <w:b/>
          <w:bCs/>
        </w:rPr>
        <w:t> million per year</w:t>
      </w:r>
      <w:r>
        <w:t>.</w:t>
      </w:r>
    </w:p>
    <w:p w14:paraId="6EA2E996" w14:textId="67E46FB1" w:rsidR="001F7925" w:rsidRPr="00F528A0" w:rsidRDefault="001F7925" w:rsidP="001F7925">
      <w:pPr>
        <w:pStyle w:val="Heading1"/>
        <w:spacing w:before="120"/>
        <w:rPr>
          <w:b/>
          <w:bCs/>
          <w:sz w:val="28"/>
          <w:szCs w:val="28"/>
        </w:rPr>
      </w:pPr>
      <w:r>
        <w:rPr>
          <w:b/>
          <w:bCs/>
          <w:sz w:val="28"/>
          <w:szCs w:val="28"/>
        </w:rPr>
        <w:t xml:space="preserve">Summary of </w:t>
      </w:r>
      <w:r w:rsidRPr="00F528A0">
        <w:rPr>
          <w:b/>
          <w:bCs/>
          <w:sz w:val="28"/>
          <w:szCs w:val="28"/>
        </w:rPr>
        <w:t xml:space="preserve">Benefits </w:t>
      </w:r>
      <w:r>
        <w:rPr>
          <w:b/>
          <w:bCs/>
          <w:sz w:val="28"/>
          <w:szCs w:val="28"/>
        </w:rPr>
        <w:t>for Each Model</w:t>
      </w:r>
    </w:p>
    <w:tbl>
      <w:tblPr>
        <w:tblStyle w:val="GridTable1Light"/>
        <w:tblW w:w="0" w:type="auto"/>
        <w:tblLook w:val="04A0" w:firstRow="1" w:lastRow="0" w:firstColumn="1" w:lastColumn="0" w:noHBand="0" w:noVBand="1"/>
      </w:tblPr>
      <w:tblGrid>
        <w:gridCol w:w="2253"/>
        <w:gridCol w:w="2254"/>
        <w:gridCol w:w="2254"/>
        <w:gridCol w:w="2255"/>
      </w:tblGrid>
      <w:tr w:rsidR="00E8483A" w14:paraId="02E9DC9C" w14:textId="77777777" w:rsidTr="00014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3" w:type="dxa"/>
          </w:tcPr>
          <w:p w14:paraId="3789AA7F" w14:textId="77777777" w:rsidR="00E8483A" w:rsidRDefault="00E8483A" w:rsidP="00014082">
            <w:pPr>
              <w:spacing w:after="120"/>
            </w:pPr>
            <w:r>
              <w:t>Model</w:t>
            </w:r>
          </w:p>
        </w:tc>
        <w:tc>
          <w:tcPr>
            <w:tcW w:w="2254" w:type="dxa"/>
          </w:tcPr>
          <w:p w14:paraId="375E9717" w14:textId="77777777" w:rsidR="00E8483A" w:rsidRDefault="00E8483A" w:rsidP="0035550C">
            <w:pPr>
              <w:spacing w:after="120"/>
              <w:jc w:val="center"/>
              <w:cnfStyle w:val="100000000000" w:firstRow="1" w:lastRow="0" w:firstColumn="0" w:lastColumn="0" w:oddVBand="0" w:evenVBand="0" w:oddHBand="0" w:evenHBand="0" w:firstRowFirstColumn="0" w:firstRowLastColumn="0" w:lastRowFirstColumn="0" w:lastRowLastColumn="0"/>
            </w:pPr>
            <w:r>
              <w:t>Case Manager and Viability Subsidy</w:t>
            </w:r>
          </w:p>
        </w:tc>
        <w:tc>
          <w:tcPr>
            <w:tcW w:w="2254" w:type="dxa"/>
          </w:tcPr>
          <w:p w14:paraId="42D715BD" w14:textId="77777777" w:rsidR="00E8483A" w:rsidRDefault="00E8483A" w:rsidP="0035550C">
            <w:pPr>
              <w:spacing w:after="120"/>
              <w:jc w:val="center"/>
              <w:cnfStyle w:val="100000000000" w:firstRow="1" w:lastRow="0" w:firstColumn="0" w:lastColumn="0" w:oddVBand="0" w:evenVBand="0" w:oddHBand="0" w:evenHBand="0" w:firstRowFirstColumn="0" w:firstRowLastColumn="0" w:lastRowFirstColumn="0" w:lastRowLastColumn="0"/>
            </w:pPr>
            <w:r>
              <w:t>Case Manager and Support Workers</w:t>
            </w:r>
          </w:p>
        </w:tc>
        <w:tc>
          <w:tcPr>
            <w:tcW w:w="2255" w:type="dxa"/>
          </w:tcPr>
          <w:p w14:paraId="5069B8F8" w14:textId="77777777" w:rsidR="00E8483A" w:rsidRDefault="00E8483A" w:rsidP="0035550C">
            <w:pPr>
              <w:spacing w:after="120"/>
              <w:jc w:val="center"/>
              <w:cnfStyle w:val="100000000000" w:firstRow="1" w:lastRow="0" w:firstColumn="0" w:lastColumn="0" w:oddVBand="0" w:evenVBand="0" w:oddHBand="0" w:evenHBand="0" w:firstRowFirstColumn="0" w:firstRowLastColumn="0" w:lastRowFirstColumn="0" w:lastRowLastColumn="0"/>
            </w:pPr>
            <w:r>
              <w:t>Case Manager and Additional Support Workers</w:t>
            </w:r>
          </w:p>
        </w:tc>
      </w:tr>
      <w:tr w:rsidR="004A740E" w14:paraId="42DB6BDC" w14:textId="77777777" w:rsidTr="00014082">
        <w:tc>
          <w:tcPr>
            <w:cnfStyle w:val="001000000000" w:firstRow="0" w:lastRow="0" w:firstColumn="1" w:lastColumn="0" w:oddVBand="0" w:evenVBand="0" w:oddHBand="0" w:evenHBand="0" w:firstRowFirstColumn="0" w:firstRowLastColumn="0" w:lastRowFirstColumn="0" w:lastRowLastColumn="0"/>
            <w:tcW w:w="2253" w:type="dxa"/>
          </w:tcPr>
          <w:p w14:paraId="60C11055" w14:textId="77336020" w:rsidR="004A740E" w:rsidRDefault="004A740E" w:rsidP="004A740E">
            <w:pPr>
              <w:spacing w:after="120"/>
            </w:pPr>
            <w:r>
              <w:t>Homelessness Prevention</w:t>
            </w:r>
          </w:p>
        </w:tc>
        <w:tc>
          <w:tcPr>
            <w:tcW w:w="2254" w:type="dxa"/>
          </w:tcPr>
          <w:p w14:paraId="699C678B" w14:textId="37857C72" w:rsidR="004A740E" w:rsidRPr="00D36C33" w:rsidRDefault="004A740E"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r w:rsidRPr="00D36C33">
              <w:t>$17.17M</w:t>
            </w:r>
          </w:p>
        </w:tc>
        <w:tc>
          <w:tcPr>
            <w:tcW w:w="2254" w:type="dxa"/>
          </w:tcPr>
          <w:p w14:paraId="303D2819" w14:textId="1703FDE1" w:rsidR="004A740E" w:rsidRPr="00D36C33" w:rsidRDefault="004A740E"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r w:rsidRPr="00D36C33">
              <w:t>$30.05M</w:t>
            </w:r>
          </w:p>
        </w:tc>
        <w:tc>
          <w:tcPr>
            <w:tcW w:w="2255" w:type="dxa"/>
          </w:tcPr>
          <w:p w14:paraId="35381070" w14:textId="0F2F59C3" w:rsidR="004A740E" w:rsidRPr="00D36C33" w:rsidRDefault="004A740E"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r w:rsidRPr="00D36C33">
              <w:t>$34.35M</w:t>
            </w:r>
          </w:p>
        </w:tc>
      </w:tr>
      <w:tr w:rsidR="004A740E" w14:paraId="4561448B" w14:textId="77777777" w:rsidTr="00014082">
        <w:tc>
          <w:tcPr>
            <w:cnfStyle w:val="001000000000" w:firstRow="0" w:lastRow="0" w:firstColumn="1" w:lastColumn="0" w:oddVBand="0" w:evenVBand="0" w:oddHBand="0" w:evenHBand="0" w:firstRowFirstColumn="0" w:firstRowLastColumn="0" w:lastRowFirstColumn="0" w:lastRowLastColumn="0"/>
            <w:tcW w:w="2253" w:type="dxa"/>
          </w:tcPr>
          <w:p w14:paraId="64AFF41C" w14:textId="43FD9BF3" w:rsidR="004A740E" w:rsidRDefault="004A740E" w:rsidP="004A740E">
            <w:pPr>
              <w:spacing w:after="120"/>
            </w:pPr>
            <w:r>
              <w:t>Reduced Rents for Residents</w:t>
            </w:r>
          </w:p>
        </w:tc>
        <w:tc>
          <w:tcPr>
            <w:tcW w:w="2254" w:type="dxa"/>
          </w:tcPr>
          <w:p w14:paraId="4D34B04F" w14:textId="459934AC" w:rsidR="004A740E" w:rsidRPr="00D36C33" w:rsidRDefault="0029345D"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r>
              <w:t>Up to $5.7M</w:t>
            </w:r>
          </w:p>
        </w:tc>
        <w:tc>
          <w:tcPr>
            <w:tcW w:w="2254" w:type="dxa"/>
          </w:tcPr>
          <w:p w14:paraId="795CB43E" w14:textId="6D2D9793" w:rsidR="004A740E" w:rsidRPr="00D36C33" w:rsidRDefault="00D36C33"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r w:rsidRPr="00D36C33">
              <w:t>$5.7M to $9.5M</w:t>
            </w:r>
          </w:p>
        </w:tc>
        <w:tc>
          <w:tcPr>
            <w:tcW w:w="2255" w:type="dxa"/>
          </w:tcPr>
          <w:p w14:paraId="747B9DCA" w14:textId="5593460C" w:rsidR="004A740E" w:rsidRPr="00D36C33" w:rsidRDefault="00D36C33"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r w:rsidRPr="00D36C33">
              <w:t>$5.7M to $9.5M</w:t>
            </w:r>
          </w:p>
        </w:tc>
      </w:tr>
      <w:tr w:rsidR="004A740E" w14:paraId="27F2E4EB" w14:textId="77777777" w:rsidTr="00014082">
        <w:tc>
          <w:tcPr>
            <w:cnfStyle w:val="001000000000" w:firstRow="0" w:lastRow="0" w:firstColumn="1" w:lastColumn="0" w:oddVBand="0" w:evenVBand="0" w:oddHBand="0" w:evenHBand="0" w:firstRowFirstColumn="0" w:firstRowLastColumn="0" w:lastRowFirstColumn="0" w:lastRowLastColumn="0"/>
            <w:tcW w:w="2253" w:type="dxa"/>
          </w:tcPr>
          <w:p w14:paraId="2F388FA6" w14:textId="17BD11A2" w:rsidR="004A740E" w:rsidRDefault="009A5ECF" w:rsidP="004A740E">
            <w:pPr>
              <w:spacing w:after="120"/>
            </w:pPr>
            <w:r>
              <w:t>Reduced Damage Costs for Providers</w:t>
            </w:r>
          </w:p>
        </w:tc>
        <w:tc>
          <w:tcPr>
            <w:tcW w:w="2254" w:type="dxa"/>
          </w:tcPr>
          <w:p w14:paraId="27EBACFF" w14:textId="4CEBFA32" w:rsidR="004A740E" w:rsidRPr="00D36C33" w:rsidRDefault="009A5ECF"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r>
              <w:t>Up to $1.237M</w:t>
            </w:r>
          </w:p>
        </w:tc>
        <w:tc>
          <w:tcPr>
            <w:tcW w:w="2254" w:type="dxa"/>
          </w:tcPr>
          <w:p w14:paraId="17587660" w14:textId="527194E7" w:rsidR="004A740E" w:rsidRPr="00D36C33" w:rsidRDefault="009A5ECF"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r>
              <w:t>$1.237M</w:t>
            </w:r>
          </w:p>
        </w:tc>
        <w:tc>
          <w:tcPr>
            <w:tcW w:w="2255" w:type="dxa"/>
          </w:tcPr>
          <w:p w14:paraId="37C1FC25" w14:textId="5B2EBEE5" w:rsidR="004A740E" w:rsidRPr="00D36C33" w:rsidRDefault="009A5ECF"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r>
              <w:t>$1.237M</w:t>
            </w:r>
          </w:p>
        </w:tc>
      </w:tr>
      <w:tr w:rsidR="004A740E" w14:paraId="2E6E1A64" w14:textId="77777777" w:rsidTr="00014082">
        <w:tc>
          <w:tcPr>
            <w:cnfStyle w:val="001000000000" w:firstRow="0" w:lastRow="0" w:firstColumn="1" w:lastColumn="0" w:oddVBand="0" w:evenVBand="0" w:oddHBand="0" w:evenHBand="0" w:firstRowFirstColumn="0" w:firstRowLastColumn="0" w:lastRowFirstColumn="0" w:lastRowLastColumn="0"/>
            <w:tcW w:w="2253" w:type="dxa"/>
          </w:tcPr>
          <w:p w14:paraId="5F7D1519" w14:textId="77777777" w:rsidR="004A740E" w:rsidRDefault="004A740E" w:rsidP="004A740E">
            <w:pPr>
              <w:spacing w:after="120"/>
            </w:pPr>
          </w:p>
        </w:tc>
        <w:tc>
          <w:tcPr>
            <w:tcW w:w="2254" w:type="dxa"/>
          </w:tcPr>
          <w:p w14:paraId="5C9F3ECA" w14:textId="77777777" w:rsidR="004A740E" w:rsidRPr="00D36C33" w:rsidRDefault="004A740E"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p>
        </w:tc>
        <w:tc>
          <w:tcPr>
            <w:tcW w:w="2254" w:type="dxa"/>
          </w:tcPr>
          <w:p w14:paraId="6438BC00" w14:textId="77777777" w:rsidR="004A740E" w:rsidRPr="00D36C33" w:rsidRDefault="004A740E"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p>
        </w:tc>
        <w:tc>
          <w:tcPr>
            <w:tcW w:w="2255" w:type="dxa"/>
          </w:tcPr>
          <w:p w14:paraId="6F912610" w14:textId="77777777" w:rsidR="004A740E" w:rsidRPr="00D36C33" w:rsidRDefault="004A740E"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p>
        </w:tc>
      </w:tr>
      <w:tr w:rsidR="004A740E" w14:paraId="0684585C" w14:textId="77777777" w:rsidTr="004C4919">
        <w:tc>
          <w:tcPr>
            <w:cnfStyle w:val="001000000000" w:firstRow="0" w:lastRow="0" w:firstColumn="1" w:lastColumn="0" w:oddVBand="0" w:evenVBand="0" w:oddHBand="0" w:evenHBand="0" w:firstRowFirstColumn="0" w:firstRowLastColumn="0" w:lastRowFirstColumn="0" w:lastRowLastColumn="0"/>
            <w:tcW w:w="2253" w:type="dxa"/>
            <w:shd w:val="clear" w:color="auto" w:fill="A5A5A5" w:themeFill="accent3"/>
          </w:tcPr>
          <w:p w14:paraId="74508239" w14:textId="319FFF07" w:rsidR="004A740E" w:rsidRDefault="004A740E" w:rsidP="004A740E">
            <w:pPr>
              <w:spacing w:after="120"/>
            </w:pPr>
            <w:r>
              <w:t>Annual Cost of Funding</w:t>
            </w:r>
          </w:p>
        </w:tc>
        <w:tc>
          <w:tcPr>
            <w:tcW w:w="2254" w:type="dxa"/>
            <w:shd w:val="clear" w:color="auto" w:fill="A5A5A5" w:themeFill="accent3"/>
          </w:tcPr>
          <w:p w14:paraId="4FA0AA76" w14:textId="62F8C1C5" w:rsidR="004A740E" w:rsidRDefault="004A740E"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r>
              <w:t>$13.8M</w:t>
            </w:r>
            <w:r w:rsidR="0029345D">
              <w:br/>
              <w:t>[$15.9M]</w:t>
            </w:r>
          </w:p>
        </w:tc>
        <w:tc>
          <w:tcPr>
            <w:tcW w:w="2254" w:type="dxa"/>
            <w:shd w:val="clear" w:color="auto" w:fill="A5A5A5" w:themeFill="accent3"/>
          </w:tcPr>
          <w:p w14:paraId="61B83E1E" w14:textId="105B91B1" w:rsidR="004A740E" w:rsidRDefault="004A740E"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r>
              <w:t>$28.3M</w:t>
            </w:r>
          </w:p>
        </w:tc>
        <w:tc>
          <w:tcPr>
            <w:tcW w:w="2255" w:type="dxa"/>
            <w:shd w:val="clear" w:color="auto" w:fill="A5A5A5" w:themeFill="accent3"/>
          </w:tcPr>
          <w:p w14:paraId="7433E926" w14:textId="10859D27" w:rsidR="004A740E" w:rsidRDefault="004A740E"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r>
              <w:t>$31.3M</w:t>
            </w:r>
          </w:p>
        </w:tc>
      </w:tr>
      <w:tr w:rsidR="004C4919" w14:paraId="55111E6F" w14:textId="77777777" w:rsidTr="004C4919">
        <w:tc>
          <w:tcPr>
            <w:cnfStyle w:val="001000000000" w:firstRow="0" w:lastRow="0" w:firstColumn="1" w:lastColumn="0" w:oddVBand="0" w:evenVBand="0" w:oddHBand="0" w:evenHBand="0" w:firstRowFirstColumn="0" w:firstRowLastColumn="0" w:lastRowFirstColumn="0" w:lastRowLastColumn="0"/>
            <w:tcW w:w="2253" w:type="dxa"/>
          </w:tcPr>
          <w:p w14:paraId="63FA12FD" w14:textId="77777777" w:rsidR="004C4919" w:rsidRDefault="004C4919" w:rsidP="004A740E">
            <w:pPr>
              <w:spacing w:after="120"/>
            </w:pPr>
          </w:p>
        </w:tc>
        <w:tc>
          <w:tcPr>
            <w:tcW w:w="2254" w:type="dxa"/>
          </w:tcPr>
          <w:p w14:paraId="0BB77085" w14:textId="77777777" w:rsidR="004C4919" w:rsidRDefault="004C4919"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p>
        </w:tc>
        <w:tc>
          <w:tcPr>
            <w:tcW w:w="2254" w:type="dxa"/>
          </w:tcPr>
          <w:p w14:paraId="1764546B" w14:textId="77777777" w:rsidR="004C4919" w:rsidRDefault="004C4919"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p>
        </w:tc>
        <w:tc>
          <w:tcPr>
            <w:tcW w:w="2255" w:type="dxa"/>
          </w:tcPr>
          <w:p w14:paraId="7F0745E3" w14:textId="77777777" w:rsidR="004C4919" w:rsidRDefault="004C4919"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p>
        </w:tc>
      </w:tr>
      <w:tr w:rsidR="00223EE9" w14:paraId="3FF33211" w14:textId="77777777" w:rsidTr="004C4919">
        <w:tc>
          <w:tcPr>
            <w:cnfStyle w:val="001000000000" w:firstRow="0" w:lastRow="0" w:firstColumn="1" w:lastColumn="0" w:oddVBand="0" w:evenVBand="0" w:oddHBand="0" w:evenHBand="0" w:firstRowFirstColumn="0" w:firstRowLastColumn="0" w:lastRowFirstColumn="0" w:lastRowLastColumn="0"/>
            <w:tcW w:w="2253" w:type="dxa"/>
            <w:shd w:val="clear" w:color="auto" w:fill="E7E6E6" w:themeFill="background2"/>
          </w:tcPr>
          <w:p w14:paraId="68FDE281" w14:textId="153F8BB6" w:rsidR="00223EE9" w:rsidRDefault="00A01D9A" w:rsidP="004A740E">
            <w:pPr>
              <w:spacing w:after="120"/>
            </w:pPr>
            <w:r>
              <w:t xml:space="preserve">Estimated </w:t>
            </w:r>
            <w:r w:rsidR="00071A40">
              <w:t>CBA</w:t>
            </w:r>
          </w:p>
        </w:tc>
        <w:tc>
          <w:tcPr>
            <w:tcW w:w="2254" w:type="dxa"/>
            <w:shd w:val="clear" w:color="auto" w:fill="E7E6E6" w:themeFill="background2"/>
          </w:tcPr>
          <w:p w14:paraId="6EE74CBF" w14:textId="4308DBB8" w:rsidR="00223EE9" w:rsidRDefault="00A01D9A" w:rsidP="0035550C">
            <w:pPr>
              <w:spacing w:after="120"/>
              <w:ind w:right="293"/>
              <w:jc w:val="center"/>
              <w:cnfStyle w:val="000000000000" w:firstRow="0" w:lastRow="0" w:firstColumn="0" w:lastColumn="0" w:oddVBand="0" w:evenVBand="0" w:oddHBand="0" w:evenHBand="0" w:firstRowFirstColumn="0" w:firstRowLastColumn="0" w:lastRowFirstColumn="0" w:lastRowLastColumn="0"/>
            </w:pPr>
            <w:r>
              <w:t xml:space="preserve">1.3 to </w:t>
            </w:r>
            <w:r w:rsidR="00DC0355">
              <w:t>1.5</w:t>
            </w:r>
          </w:p>
        </w:tc>
        <w:tc>
          <w:tcPr>
            <w:tcW w:w="2254" w:type="dxa"/>
            <w:shd w:val="clear" w:color="auto" w:fill="E7E6E6" w:themeFill="background2"/>
          </w:tcPr>
          <w:p w14:paraId="3A782C14" w14:textId="331AD64F" w:rsidR="00223EE9" w:rsidRDefault="00DC0355" w:rsidP="0035550C">
            <w:pPr>
              <w:spacing w:after="120"/>
              <w:ind w:right="281"/>
              <w:jc w:val="center"/>
              <w:cnfStyle w:val="000000000000" w:firstRow="0" w:lastRow="0" w:firstColumn="0" w:lastColumn="0" w:oddVBand="0" w:evenVBand="0" w:oddHBand="0" w:evenHBand="0" w:firstRowFirstColumn="0" w:firstRowLastColumn="0" w:lastRowFirstColumn="0" w:lastRowLastColumn="0"/>
            </w:pPr>
            <w:r>
              <w:t>1.31</w:t>
            </w:r>
          </w:p>
        </w:tc>
        <w:tc>
          <w:tcPr>
            <w:tcW w:w="2255" w:type="dxa"/>
            <w:shd w:val="clear" w:color="auto" w:fill="E7E6E6" w:themeFill="background2"/>
          </w:tcPr>
          <w:p w14:paraId="2F3FDC4D" w14:textId="2349B917" w:rsidR="00223EE9" w:rsidRDefault="00DC0355" w:rsidP="0035550C">
            <w:pPr>
              <w:spacing w:after="120"/>
              <w:ind w:right="269"/>
              <w:jc w:val="center"/>
              <w:cnfStyle w:val="000000000000" w:firstRow="0" w:lastRow="0" w:firstColumn="0" w:lastColumn="0" w:oddVBand="0" w:evenVBand="0" w:oddHBand="0" w:evenHBand="0" w:firstRowFirstColumn="0" w:firstRowLastColumn="0" w:lastRowFirstColumn="0" w:lastRowLastColumn="0"/>
            </w:pPr>
            <w:r>
              <w:t>1.44</w:t>
            </w:r>
          </w:p>
        </w:tc>
      </w:tr>
    </w:tbl>
    <w:p w14:paraId="58A8D100" w14:textId="375C7746" w:rsidR="006079D8" w:rsidRDefault="006079D8">
      <w:r>
        <w:br w:type="page"/>
      </w:r>
    </w:p>
    <w:p w14:paraId="326CC70C" w14:textId="0AE6082F" w:rsidR="000161C3" w:rsidRDefault="000161C3" w:rsidP="000161C3">
      <w:pPr>
        <w:pStyle w:val="Heading1"/>
        <w:rPr>
          <w:b/>
          <w:bCs/>
        </w:rPr>
      </w:pPr>
      <w:r>
        <w:rPr>
          <w:b/>
          <w:bCs/>
        </w:rPr>
        <w:lastRenderedPageBreak/>
        <w:t>Implementation and Measurement of Case Management for Supported Accommodation</w:t>
      </w:r>
    </w:p>
    <w:p w14:paraId="1185ECC9" w14:textId="2C9C67BC" w:rsidR="000161C3" w:rsidRPr="0091480E" w:rsidRDefault="000161C3" w:rsidP="000161C3">
      <w:pPr>
        <w:pStyle w:val="Heading1"/>
        <w:spacing w:before="120"/>
        <w:rPr>
          <w:b/>
          <w:bCs/>
          <w:sz w:val="28"/>
          <w:szCs w:val="28"/>
        </w:rPr>
      </w:pPr>
      <w:r>
        <w:rPr>
          <w:b/>
          <w:bCs/>
          <w:sz w:val="28"/>
          <w:szCs w:val="28"/>
        </w:rPr>
        <w:t>Impl</w:t>
      </w:r>
      <w:r w:rsidR="00AD4E9D">
        <w:rPr>
          <w:b/>
          <w:bCs/>
          <w:sz w:val="28"/>
          <w:szCs w:val="28"/>
        </w:rPr>
        <w:t>ementation</w:t>
      </w:r>
    </w:p>
    <w:p w14:paraId="2787055E" w14:textId="72A0BBE2" w:rsidR="003A73B1" w:rsidRDefault="007E407C" w:rsidP="009A24AB">
      <w:pPr>
        <w:spacing w:after="0"/>
      </w:pPr>
      <w:r>
        <w:t xml:space="preserve">It is recommended that </w:t>
      </w:r>
      <w:r w:rsidR="006260FA">
        <w:t xml:space="preserve">case management and support worker </w:t>
      </w:r>
      <w:r>
        <w:t xml:space="preserve">funding would be provided under the </w:t>
      </w:r>
      <w:r w:rsidRPr="005338B4">
        <w:rPr>
          <w:b/>
          <w:bCs/>
        </w:rPr>
        <w:t>Individuals Investment Specification</w:t>
      </w:r>
      <w:r>
        <w:t>.</w:t>
      </w:r>
    </w:p>
    <w:p w14:paraId="2CDB3666" w14:textId="4389D0DD" w:rsidR="003A73B1" w:rsidRPr="003A73B1" w:rsidRDefault="003A73B1" w:rsidP="002F0C0D">
      <w:pPr>
        <w:pStyle w:val="ListParagraph"/>
        <w:numPr>
          <w:ilvl w:val="0"/>
          <w:numId w:val="9"/>
        </w:numPr>
        <w:rPr>
          <w:rFonts w:asciiTheme="minorHAnsi" w:hAnsiTheme="minorHAnsi" w:cstheme="minorHAnsi"/>
        </w:rPr>
      </w:pPr>
      <w:r w:rsidRPr="003A73B1">
        <w:rPr>
          <w:rFonts w:asciiTheme="minorHAnsi" w:hAnsiTheme="minorHAnsi" w:cstheme="minorHAnsi"/>
          <w:b/>
          <w:bCs/>
        </w:rPr>
        <w:t>Service Users:</w:t>
      </w:r>
      <w:r w:rsidRPr="003A73B1">
        <w:rPr>
          <w:rFonts w:asciiTheme="minorHAnsi" w:hAnsiTheme="minorHAnsi" w:cstheme="minorHAnsi"/>
        </w:rPr>
        <w:t xml:space="preserve"> </w:t>
      </w:r>
      <w:r w:rsidR="00AA1AC8" w:rsidRPr="003A73B1">
        <w:rPr>
          <w:rFonts w:asciiTheme="minorHAnsi" w:hAnsiTheme="minorHAnsi" w:cstheme="minorHAnsi"/>
        </w:rPr>
        <w:t xml:space="preserve">The needs of residents would be sufficiently covered by the </w:t>
      </w:r>
      <w:r w:rsidR="00994F64">
        <w:rPr>
          <w:rFonts w:asciiTheme="minorHAnsi" w:hAnsiTheme="minorHAnsi" w:cstheme="minorHAnsi"/>
        </w:rPr>
        <w:t>‘</w:t>
      </w:r>
      <w:r w:rsidR="00E1131F" w:rsidRPr="003A73B1">
        <w:rPr>
          <w:rFonts w:asciiTheme="minorHAnsi" w:hAnsiTheme="minorHAnsi" w:cstheme="minorHAnsi"/>
        </w:rPr>
        <w:t>Service delivery requirements for all services</w:t>
      </w:r>
      <w:r w:rsidR="00994F64">
        <w:rPr>
          <w:rFonts w:asciiTheme="minorHAnsi" w:hAnsiTheme="minorHAnsi" w:cstheme="minorHAnsi"/>
        </w:rPr>
        <w:t>’</w:t>
      </w:r>
      <w:r w:rsidR="00E1131F" w:rsidRPr="003A73B1">
        <w:rPr>
          <w:rFonts w:asciiTheme="minorHAnsi" w:hAnsiTheme="minorHAnsi" w:cstheme="minorHAnsi"/>
        </w:rPr>
        <w:t xml:space="preserve">. However, </w:t>
      </w:r>
      <w:r w:rsidR="002F41DC" w:rsidRPr="003A73B1">
        <w:rPr>
          <w:rFonts w:asciiTheme="minorHAnsi" w:hAnsiTheme="minorHAnsi" w:cstheme="minorHAnsi"/>
        </w:rPr>
        <w:t xml:space="preserve">specific requirement would be simple to develop and be similar to </w:t>
      </w:r>
      <w:r w:rsidR="00AB695B" w:rsidRPr="003A73B1">
        <w:rPr>
          <w:rFonts w:asciiTheme="minorHAnsi" w:hAnsiTheme="minorHAnsi" w:cstheme="minorHAnsi"/>
        </w:rPr>
        <w:t>the requirements fo</w:t>
      </w:r>
      <w:r w:rsidR="00795A1C" w:rsidRPr="003A73B1">
        <w:rPr>
          <w:rFonts w:asciiTheme="minorHAnsi" w:hAnsiTheme="minorHAnsi" w:cstheme="minorHAnsi"/>
        </w:rPr>
        <w:t xml:space="preserve">r </w:t>
      </w:r>
      <w:r w:rsidR="00994F64">
        <w:rPr>
          <w:rFonts w:asciiTheme="minorHAnsi" w:hAnsiTheme="minorHAnsi" w:cstheme="minorHAnsi"/>
        </w:rPr>
        <w:t>‘</w:t>
      </w:r>
      <w:r w:rsidR="00795A1C" w:rsidRPr="003A73B1">
        <w:rPr>
          <w:rFonts w:asciiTheme="minorHAnsi" w:hAnsiTheme="minorHAnsi" w:cstheme="minorHAnsi"/>
        </w:rPr>
        <w:t>Adults affected by alcohol (U1020)</w:t>
      </w:r>
      <w:r w:rsidR="00994F64">
        <w:rPr>
          <w:rFonts w:asciiTheme="minorHAnsi" w:hAnsiTheme="minorHAnsi" w:cstheme="minorHAnsi"/>
        </w:rPr>
        <w:t>’</w:t>
      </w:r>
      <w:r w:rsidR="00795A1C" w:rsidRPr="003A73B1">
        <w:rPr>
          <w:rFonts w:asciiTheme="minorHAnsi" w:hAnsiTheme="minorHAnsi" w:cstheme="minorHAnsi"/>
        </w:rPr>
        <w:t xml:space="preserve"> and </w:t>
      </w:r>
      <w:r w:rsidR="00994F64">
        <w:rPr>
          <w:rFonts w:asciiTheme="minorHAnsi" w:hAnsiTheme="minorHAnsi" w:cstheme="minorHAnsi"/>
        </w:rPr>
        <w:t>‘</w:t>
      </w:r>
      <w:r w:rsidR="00795A1C" w:rsidRPr="003A73B1">
        <w:rPr>
          <w:rFonts w:asciiTheme="minorHAnsi" w:hAnsiTheme="minorHAnsi" w:cstheme="minorHAnsi"/>
        </w:rPr>
        <w:t xml:space="preserve">Adults </w:t>
      </w:r>
      <w:r w:rsidR="005C7687" w:rsidRPr="003A73B1">
        <w:rPr>
          <w:rFonts w:asciiTheme="minorHAnsi" w:hAnsiTheme="minorHAnsi" w:cstheme="minorHAnsi"/>
        </w:rPr>
        <w:t>experiencing personal, family, relationship and/or financial issues (U1150)</w:t>
      </w:r>
      <w:r w:rsidR="00994F64">
        <w:rPr>
          <w:rFonts w:asciiTheme="minorHAnsi" w:hAnsiTheme="minorHAnsi" w:cstheme="minorHAnsi"/>
        </w:rPr>
        <w:t>’</w:t>
      </w:r>
      <w:r w:rsidR="005C7687" w:rsidRPr="003A73B1">
        <w:rPr>
          <w:rFonts w:asciiTheme="minorHAnsi" w:hAnsiTheme="minorHAnsi" w:cstheme="minorHAnsi"/>
        </w:rPr>
        <w:t xml:space="preserve">. </w:t>
      </w:r>
    </w:p>
    <w:p w14:paraId="23E37963" w14:textId="2EF17EB3" w:rsidR="007E407C" w:rsidRPr="0046133B" w:rsidRDefault="001839D1" w:rsidP="002F0C0D">
      <w:pPr>
        <w:pStyle w:val="ListParagraph"/>
        <w:numPr>
          <w:ilvl w:val="0"/>
          <w:numId w:val="9"/>
        </w:numPr>
        <w:rPr>
          <w:rFonts w:asciiTheme="minorHAnsi" w:hAnsiTheme="minorHAnsi" w:cstheme="minorHAnsi"/>
          <w:b/>
          <w:bCs/>
        </w:rPr>
      </w:pPr>
      <w:r w:rsidRPr="003A73B1">
        <w:rPr>
          <w:rFonts w:asciiTheme="minorHAnsi" w:hAnsiTheme="minorHAnsi" w:cstheme="minorHAnsi"/>
          <w:b/>
          <w:bCs/>
        </w:rPr>
        <w:t>Service</w:t>
      </w:r>
      <w:r w:rsidR="003A73B1" w:rsidRPr="003A73B1">
        <w:rPr>
          <w:rFonts w:asciiTheme="minorHAnsi" w:hAnsiTheme="minorHAnsi" w:cstheme="minorHAnsi"/>
          <w:b/>
          <w:bCs/>
        </w:rPr>
        <w:t xml:space="preserve"> types:</w:t>
      </w:r>
      <w:r w:rsidR="0046133B">
        <w:rPr>
          <w:rFonts w:asciiTheme="minorHAnsi" w:hAnsiTheme="minorHAnsi" w:cstheme="minorHAnsi"/>
        </w:rPr>
        <w:t xml:space="preserve"> The needs of residents would be supported through:</w:t>
      </w:r>
    </w:p>
    <w:p w14:paraId="32D2569D" w14:textId="4ACD8206" w:rsidR="00434A12" w:rsidRDefault="00434A12" w:rsidP="002F0C0D">
      <w:pPr>
        <w:pStyle w:val="ListParagraph"/>
        <w:numPr>
          <w:ilvl w:val="1"/>
          <w:numId w:val="9"/>
        </w:numPr>
        <w:rPr>
          <w:rFonts w:asciiTheme="minorHAnsi" w:hAnsiTheme="minorHAnsi" w:cstheme="minorHAnsi"/>
        </w:rPr>
      </w:pPr>
      <w:r w:rsidRPr="00434A12">
        <w:rPr>
          <w:rFonts w:asciiTheme="minorHAnsi" w:hAnsiTheme="minorHAnsi" w:cstheme="minorHAnsi"/>
        </w:rPr>
        <w:t xml:space="preserve">Access – Community </w:t>
      </w:r>
      <w:r w:rsidR="00E02C05">
        <w:rPr>
          <w:rFonts w:asciiTheme="minorHAnsi" w:hAnsiTheme="minorHAnsi" w:cstheme="minorHAnsi"/>
        </w:rPr>
        <w:t>s</w:t>
      </w:r>
      <w:r w:rsidRPr="00434A12">
        <w:rPr>
          <w:rFonts w:asciiTheme="minorHAnsi" w:hAnsiTheme="minorHAnsi" w:cstheme="minorHAnsi"/>
        </w:rPr>
        <w:t>upport (T101)</w:t>
      </w:r>
    </w:p>
    <w:p w14:paraId="1938200F" w14:textId="324B152B" w:rsidR="00912280" w:rsidRPr="005B20B9" w:rsidRDefault="00912280" w:rsidP="002F0C0D">
      <w:pPr>
        <w:pStyle w:val="ListParagraph"/>
        <w:numPr>
          <w:ilvl w:val="1"/>
          <w:numId w:val="9"/>
        </w:numPr>
        <w:rPr>
          <w:rFonts w:asciiTheme="minorHAnsi" w:hAnsiTheme="minorHAnsi" w:cstheme="minorHAnsi"/>
        </w:rPr>
      </w:pPr>
      <w:r w:rsidRPr="005B20B9">
        <w:rPr>
          <w:rFonts w:asciiTheme="minorHAnsi" w:hAnsiTheme="minorHAnsi" w:cstheme="minorHAnsi"/>
        </w:rPr>
        <w:t xml:space="preserve">Access – Information, </w:t>
      </w:r>
      <w:r w:rsidRPr="00912280">
        <w:rPr>
          <w:rFonts w:asciiTheme="minorHAnsi" w:hAnsiTheme="minorHAnsi" w:cstheme="minorHAnsi"/>
        </w:rPr>
        <w:t>advice</w:t>
      </w:r>
      <w:r w:rsidRPr="005B20B9">
        <w:rPr>
          <w:rFonts w:asciiTheme="minorHAnsi" w:hAnsiTheme="minorHAnsi" w:cstheme="minorHAnsi"/>
        </w:rPr>
        <w:t xml:space="preserve"> and referral (T103)</w:t>
      </w:r>
    </w:p>
    <w:p w14:paraId="01A518A3" w14:textId="64805881" w:rsidR="0046133B" w:rsidRPr="005B20B9" w:rsidRDefault="00912280" w:rsidP="002F0C0D">
      <w:pPr>
        <w:pStyle w:val="ListParagraph"/>
        <w:numPr>
          <w:ilvl w:val="1"/>
          <w:numId w:val="9"/>
        </w:numPr>
        <w:rPr>
          <w:rFonts w:asciiTheme="minorHAnsi" w:hAnsiTheme="minorHAnsi" w:cstheme="minorHAnsi"/>
        </w:rPr>
      </w:pPr>
      <w:r w:rsidRPr="005B20B9">
        <w:rPr>
          <w:rFonts w:asciiTheme="minorHAnsi" w:hAnsiTheme="minorHAnsi" w:cstheme="minorHAnsi"/>
        </w:rPr>
        <w:t xml:space="preserve">Support </w:t>
      </w:r>
      <w:r w:rsidR="005B20B9">
        <w:rPr>
          <w:rFonts w:asciiTheme="minorHAnsi" w:hAnsiTheme="minorHAnsi" w:cstheme="minorHAnsi"/>
        </w:rPr>
        <w:t>–</w:t>
      </w:r>
      <w:r w:rsidRPr="005B20B9">
        <w:rPr>
          <w:rFonts w:asciiTheme="minorHAnsi" w:hAnsiTheme="minorHAnsi" w:cstheme="minorHAnsi"/>
        </w:rPr>
        <w:t xml:space="preserve"> Case</w:t>
      </w:r>
      <w:r w:rsidR="005B20B9">
        <w:rPr>
          <w:rFonts w:asciiTheme="minorHAnsi" w:hAnsiTheme="minorHAnsi" w:cstheme="minorHAnsi"/>
        </w:rPr>
        <w:t xml:space="preserve"> </w:t>
      </w:r>
      <w:r w:rsidRPr="005B20B9">
        <w:rPr>
          <w:rFonts w:asciiTheme="minorHAnsi" w:hAnsiTheme="minorHAnsi" w:cstheme="minorHAnsi"/>
        </w:rPr>
        <w:t>management (T314)</w:t>
      </w:r>
    </w:p>
    <w:p w14:paraId="789D7E78" w14:textId="72694B30" w:rsidR="00912280" w:rsidRPr="005B20B9" w:rsidRDefault="005B20B9" w:rsidP="002F0C0D">
      <w:pPr>
        <w:pStyle w:val="ListParagraph"/>
        <w:numPr>
          <w:ilvl w:val="1"/>
          <w:numId w:val="9"/>
        </w:numPr>
        <w:spacing w:after="120"/>
        <w:ind w:left="1491" w:hanging="357"/>
        <w:rPr>
          <w:rFonts w:asciiTheme="minorHAnsi" w:hAnsiTheme="minorHAnsi" w:cstheme="minorHAnsi"/>
        </w:rPr>
      </w:pPr>
      <w:r w:rsidRPr="005B20B9">
        <w:rPr>
          <w:rFonts w:asciiTheme="minorHAnsi" w:hAnsiTheme="minorHAnsi" w:cstheme="minorHAnsi"/>
        </w:rPr>
        <w:t>Support – Counselling</w:t>
      </w:r>
      <w:r>
        <w:rPr>
          <w:rFonts w:asciiTheme="minorHAnsi" w:hAnsiTheme="minorHAnsi" w:cstheme="minorHAnsi"/>
        </w:rPr>
        <w:t xml:space="preserve"> </w:t>
      </w:r>
      <w:r w:rsidRPr="005B20B9">
        <w:rPr>
          <w:rFonts w:asciiTheme="minorHAnsi" w:hAnsiTheme="minorHAnsi" w:cstheme="minorHAnsi"/>
        </w:rPr>
        <w:t>(T318)</w:t>
      </w:r>
      <w:r w:rsidR="00886470">
        <w:rPr>
          <w:rFonts w:asciiTheme="minorHAnsi" w:hAnsiTheme="minorHAnsi" w:cstheme="minorHAnsi"/>
        </w:rPr>
        <w:t>.</w:t>
      </w:r>
    </w:p>
    <w:p w14:paraId="20AB8192" w14:textId="77777777" w:rsidR="009401B4" w:rsidRDefault="009401B4" w:rsidP="009401B4">
      <w:pPr>
        <w:spacing w:after="0"/>
      </w:pPr>
      <w:r>
        <w:t>Relevant outcomes from the Individuals Investment Specification would include:</w:t>
      </w:r>
    </w:p>
    <w:p w14:paraId="6E968AEA" w14:textId="7F693593" w:rsidR="009401B4" w:rsidRPr="00AE16C2" w:rsidRDefault="0035550C" w:rsidP="002F0C0D">
      <w:pPr>
        <w:pStyle w:val="ListParagraph"/>
        <w:numPr>
          <w:ilvl w:val="0"/>
          <w:numId w:val="9"/>
        </w:numPr>
        <w:rPr>
          <w:rFonts w:asciiTheme="minorHAnsi" w:hAnsiTheme="minorHAnsi" w:cstheme="minorHAnsi"/>
        </w:rPr>
      </w:pPr>
      <w:r>
        <w:rPr>
          <w:rFonts w:asciiTheme="minorHAnsi" w:hAnsiTheme="minorHAnsi" w:cstheme="minorHAnsi"/>
        </w:rPr>
        <w:t>s</w:t>
      </w:r>
      <w:r w:rsidR="009401B4" w:rsidRPr="00AE16C2">
        <w:rPr>
          <w:rFonts w:asciiTheme="minorHAnsi" w:hAnsiTheme="minorHAnsi" w:cstheme="minorHAnsi"/>
        </w:rPr>
        <w:t>ervice user needs are identified and they are connected to appropriate services and information</w:t>
      </w:r>
      <w:r>
        <w:rPr>
          <w:rFonts w:asciiTheme="minorHAnsi" w:hAnsiTheme="minorHAnsi" w:cstheme="minorHAnsi"/>
        </w:rPr>
        <w:t>;</w:t>
      </w:r>
    </w:p>
    <w:p w14:paraId="205C1AC9" w14:textId="3F22BB39" w:rsidR="009401B4" w:rsidRPr="00AE16C2" w:rsidRDefault="0035550C" w:rsidP="002F0C0D">
      <w:pPr>
        <w:pStyle w:val="ListParagraph"/>
        <w:numPr>
          <w:ilvl w:val="0"/>
          <w:numId w:val="9"/>
        </w:numPr>
        <w:rPr>
          <w:rFonts w:asciiTheme="minorHAnsi" w:hAnsiTheme="minorHAnsi" w:cstheme="minorHAnsi"/>
        </w:rPr>
      </w:pPr>
      <w:r>
        <w:rPr>
          <w:rFonts w:asciiTheme="minorHAnsi" w:hAnsiTheme="minorHAnsi" w:cstheme="minorHAnsi"/>
        </w:rPr>
        <w:t>i</w:t>
      </w:r>
      <w:r w:rsidR="009401B4" w:rsidRPr="00AE16C2">
        <w:rPr>
          <w:rFonts w:asciiTheme="minorHAnsi" w:hAnsiTheme="minorHAnsi" w:cstheme="minorHAnsi"/>
        </w:rPr>
        <w:t>mproved service user’s sense of healing, justice and personal wellbeing</w:t>
      </w:r>
      <w:r>
        <w:rPr>
          <w:rFonts w:asciiTheme="minorHAnsi" w:hAnsiTheme="minorHAnsi" w:cstheme="minorHAnsi"/>
        </w:rPr>
        <w:t>;</w:t>
      </w:r>
    </w:p>
    <w:p w14:paraId="087C5A87" w14:textId="53EAEF40" w:rsidR="009401B4" w:rsidRPr="00AE16C2" w:rsidRDefault="0035550C" w:rsidP="002F0C0D">
      <w:pPr>
        <w:pStyle w:val="ListParagraph"/>
        <w:numPr>
          <w:ilvl w:val="0"/>
          <w:numId w:val="9"/>
        </w:numPr>
        <w:rPr>
          <w:rFonts w:asciiTheme="minorHAnsi" w:hAnsiTheme="minorHAnsi" w:cstheme="minorHAnsi"/>
        </w:rPr>
      </w:pPr>
      <w:r>
        <w:rPr>
          <w:rFonts w:asciiTheme="minorHAnsi" w:hAnsiTheme="minorHAnsi" w:cstheme="minorHAnsi"/>
        </w:rPr>
        <w:t>r</w:t>
      </w:r>
      <w:r w:rsidR="009401B4" w:rsidRPr="00AE16C2">
        <w:rPr>
          <w:rFonts w:asciiTheme="minorHAnsi" w:hAnsiTheme="minorHAnsi" w:cstheme="minorHAnsi"/>
        </w:rPr>
        <w:t>educed risk of being taken into police custody or statutory services for public intoxication offences</w:t>
      </w:r>
      <w:r>
        <w:rPr>
          <w:rFonts w:asciiTheme="minorHAnsi" w:hAnsiTheme="minorHAnsi" w:cstheme="minorHAnsi"/>
        </w:rPr>
        <w:t>;</w:t>
      </w:r>
    </w:p>
    <w:p w14:paraId="25A9A7CA" w14:textId="71F96914" w:rsidR="009401B4" w:rsidRPr="00AE16C2" w:rsidRDefault="0035550C" w:rsidP="002F0C0D">
      <w:pPr>
        <w:pStyle w:val="ListParagraph"/>
        <w:numPr>
          <w:ilvl w:val="0"/>
          <w:numId w:val="9"/>
        </w:numPr>
        <w:spacing w:after="120"/>
        <w:ind w:left="771" w:hanging="357"/>
        <w:rPr>
          <w:rFonts w:asciiTheme="minorHAnsi" w:hAnsiTheme="minorHAnsi" w:cstheme="minorHAnsi"/>
        </w:rPr>
      </w:pPr>
      <w:r>
        <w:rPr>
          <w:rFonts w:asciiTheme="minorHAnsi" w:hAnsiTheme="minorHAnsi" w:cstheme="minorHAnsi"/>
        </w:rPr>
        <w:t>i</w:t>
      </w:r>
      <w:r w:rsidR="009401B4" w:rsidRPr="00AE16C2">
        <w:rPr>
          <w:rFonts w:asciiTheme="minorHAnsi" w:hAnsiTheme="minorHAnsi" w:cstheme="minorHAnsi"/>
        </w:rPr>
        <w:t>mproved cultural identity and connectedness</w:t>
      </w:r>
      <w:r w:rsidR="006E578D">
        <w:rPr>
          <w:rFonts w:asciiTheme="minorHAnsi" w:hAnsiTheme="minorHAnsi" w:cstheme="minorHAnsi"/>
        </w:rPr>
        <w:t>.</w:t>
      </w:r>
    </w:p>
    <w:p w14:paraId="19C725C5" w14:textId="2D887890" w:rsidR="005C7687" w:rsidRDefault="006260FA" w:rsidP="0035400C">
      <w:pPr>
        <w:spacing w:after="120"/>
      </w:pPr>
      <w:r w:rsidRPr="009401B4">
        <w:rPr>
          <w:b/>
          <w:bCs/>
        </w:rPr>
        <w:t>To meet the requirements of the investment specification</w:t>
      </w:r>
      <w:r>
        <w:t xml:space="preserve">, providers would need to </w:t>
      </w:r>
      <w:r w:rsidR="009401B4">
        <w:t>be accredited to</w:t>
      </w:r>
      <w:r>
        <w:t xml:space="preserve"> Human Services Quality Standards. </w:t>
      </w:r>
      <w:r w:rsidR="00997ECE">
        <w:t xml:space="preserve">This would include </w:t>
      </w:r>
      <w:r w:rsidR="00A86295">
        <w:t>paying for an external audit every 18 months.</w:t>
      </w:r>
    </w:p>
    <w:p w14:paraId="54D1668F" w14:textId="1F1A3D45" w:rsidR="0035400C" w:rsidRDefault="00997ECE" w:rsidP="0035400C">
      <w:pPr>
        <w:spacing w:after="120"/>
      </w:pPr>
      <w:r>
        <w:t>In meeting the Standards</w:t>
      </w:r>
      <w:r w:rsidR="00995D29">
        <w:t xml:space="preserve"> and to commence delivering effective services</w:t>
      </w:r>
      <w:r>
        <w:t>, providers would need to be supported through a process of capacity building</w:t>
      </w:r>
      <w:r w:rsidR="0035400C">
        <w:t xml:space="preserve"> – for both the organisation and for its staff. </w:t>
      </w:r>
      <w:r w:rsidR="00CF0480">
        <w:t>Given the vulnerab</w:t>
      </w:r>
      <w:r w:rsidR="008835E9">
        <w:t>ility of residents, i</w:t>
      </w:r>
      <w:r w:rsidR="00644E94">
        <w:t xml:space="preserve">t is recommended that staff are </w:t>
      </w:r>
      <w:r w:rsidR="00CF0480">
        <w:t xml:space="preserve">at a minimum receive additional </w:t>
      </w:r>
      <w:r w:rsidR="00644E94">
        <w:t>train</w:t>
      </w:r>
      <w:r w:rsidR="00CF0480">
        <w:t>ing</w:t>
      </w:r>
      <w:r w:rsidR="00644E94">
        <w:t xml:space="preserve"> in trauma-informed practice</w:t>
      </w:r>
      <w:r w:rsidR="004E130C">
        <w:t xml:space="preserve"> and diversity awareness.</w:t>
      </w:r>
    </w:p>
    <w:p w14:paraId="20737BA9" w14:textId="7CD97B26" w:rsidR="00997ECE" w:rsidRDefault="0035400C" w:rsidP="0035400C">
      <w:pPr>
        <w:spacing w:after="120"/>
      </w:pPr>
      <w:r>
        <w:t>Funded staff will need to meet qualification requirements</w:t>
      </w:r>
      <w:r w:rsidR="007446AE">
        <w:t xml:space="preserve"> – ranging from a Certificate III</w:t>
      </w:r>
      <w:r w:rsidR="00206ABB">
        <w:t xml:space="preserve"> or IV</w:t>
      </w:r>
      <w:r w:rsidR="007446AE">
        <w:t xml:space="preserve"> (support workers) to a </w:t>
      </w:r>
      <w:r w:rsidR="004677F6">
        <w:t xml:space="preserve">three-year </w:t>
      </w:r>
      <w:r w:rsidR="007446AE">
        <w:t>bachelor’s degree (case manager).</w:t>
      </w:r>
    </w:p>
    <w:p w14:paraId="6AED3BB1" w14:textId="07846CFA" w:rsidR="00427D9A" w:rsidRDefault="00427D9A" w:rsidP="0035400C">
      <w:pPr>
        <w:spacing w:after="120"/>
      </w:pPr>
      <w:r>
        <w:t xml:space="preserve">To best support and supervise, a </w:t>
      </w:r>
      <w:r w:rsidR="00545BAF" w:rsidRPr="00545BAF">
        <w:rPr>
          <w:b/>
          <w:bCs/>
        </w:rPr>
        <w:t>supported accommodation practice framework</w:t>
      </w:r>
      <w:r w:rsidR="00545BAF">
        <w:t xml:space="preserve"> will need to be developed. Given the complexity of the role of case managers </w:t>
      </w:r>
      <w:r w:rsidR="00E503A2">
        <w:t xml:space="preserve">and the vulnerabilities of residents, a framework </w:t>
      </w:r>
      <w:r w:rsidR="002B1A2E">
        <w:t xml:space="preserve">is needed </w:t>
      </w:r>
      <w:r w:rsidR="00E503A2">
        <w:t xml:space="preserve">which can support case managers, implement clear and robust practice </w:t>
      </w:r>
      <w:r w:rsidR="002B1A2E">
        <w:t>and ensure professional supervision.</w:t>
      </w:r>
    </w:p>
    <w:p w14:paraId="2E1139F9" w14:textId="4C35F728" w:rsidR="002B1A2E" w:rsidRDefault="002B1A2E" w:rsidP="0035400C">
      <w:pPr>
        <w:spacing w:after="120"/>
      </w:pPr>
      <w:r>
        <w:t xml:space="preserve">SAPA is developing a Model of Care, </w:t>
      </w:r>
      <w:r w:rsidR="005338B4">
        <w:t>under the guidance of a Practice Leader which would support best practice case management and support.</w:t>
      </w:r>
    </w:p>
    <w:p w14:paraId="5096A1BD" w14:textId="77777777" w:rsidR="007C21B7" w:rsidRPr="000161C3" w:rsidRDefault="007C21B7" w:rsidP="000161C3"/>
    <w:p w14:paraId="27C4D532" w14:textId="77777777" w:rsidR="00CA357A" w:rsidRDefault="00CA357A">
      <w:pPr>
        <w:rPr>
          <w:rFonts w:asciiTheme="majorHAnsi" w:eastAsiaTheme="majorEastAsia" w:hAnsiTheme="majorHAnsi" w:cstheme="majorBidi"/>
          <w:b/>
          <w:bCs/>
          <w:color w:val="2F5496" w:themeColor="accent1" w:themeShade="BF"/>
          <w:sz w:val="28"/>
          <w:szCs w:val="28"/>
        </w:rPr>
      </w:pPr>
      <w:bookmarkStart w:id="2" w:name="_Hlk199393578"/>
      <w:r>
        <w:rPr>
          <w:b/>
          <w:bCs/>
          <w:sz w:val="28"/>
          <w:szCs w:val="28"/>
        </w:rPr>
        <w:br w:type="page"/>
      </w:r>
    </w:p>
    <w:p w14:paraId="66A07B52" w14:textId="5B8210A1" w:rsidR="000161C3" w:rsidRPr="0091480E" w:rsidRDefault="000161C3" w:rsidP="000161C3">
      <w:pPr>
        <w:pStyle w:val="Heading1"/>
        <w:spacing w:before="120"/>
        <w:rPr>
          <w:b/>
          <w:bCs/>
          <w:sz w:val="28"/>
          <w:szCs w:val="28"/>
        </w:rPr>
      </w:pPr>
      <w:r w:rsidRPr="0091480E">
        <w:rPr>
          <w:b/>
          <w:bCs/>
          <w:sz w:val="28"/>
          <w:szCs w:val="28"/>
        </w:rPr>
        <w:lastRenderedPageBreak/>
        <w:t>Measuring benefits</w:t>
      </w:r>
    </w:p>
    <w:bookmarkEnd w:id="2"/>
    <w:p w14:paraId="35A7E536" w14:textId="07FCD774" w:rsidR="000161C3" w:rsidRDefault="008E6310" w:rsidP="00A4193F">
      <w:pPr>
        <w:tabs>
          <w:tab w:val="left" w:pos="2193"/>
        </w:tabs>
        <w:spacing w:after="120"/>
      </w:pPr>
      <w:r>
        <w:t xml:space="preserve">The benefits arising from </w:t>
      </w:r>
      <w:r w:rsidR="002506EB">
        <w:t>introducing case management would need to be measured against a baseline prior to funding commencing</w:t>
      </w:r>
      <w:r w:rsidR="00F62B2B">
        <w:t xml:space="preserve"> (some providers already have some relevant measures for baselining)</w:t>
      </w:r>
      <w:r w:rsidR="002506EB">
        <w:t xml:space="preserve">. The benefits of case management would </w:t>
      </w:r>
      <w:r w:rsidR="00DB6AA3">
        <w:t>also be likely to increase over time as the case managers and support workers buil</w:t>
      </w:r>
      <w:r w:rsidR="00A254A3">
        <w:t>d</w:t>
      </w:r>
      <w:r w:rsidR="00DB6AA3">
        <w:t xml:space="preserve"> trust and rapport with residents, and as practices </w:t>
      </w:r>
      <w:r w:rsidR="00A254A3">
        <w:t xml:space="preserve">are embedded and </w:t>
      </w:r>
      <w:r w:rsidR="00DB6AA3">
        <w:t>improved</w:t>
      </w:r>
      <w:r w:rsidR="00A254A3">
        <w:t>.</w:t>
      </w:r>
    </w:p>
    <w:tbl>
      <w:tblPr>
        <w:tblStyle w:val="GridTable1Light-Accent1"/>
        <w:tblW w:w="5000" w:type="pct"/>
        <w:tblLook w:val="04A0" w:firstRow="1" w:lastRow="0" w:firstColumn="1" w:lastColumn="0" w:noHBand="0" w:noVBand="1"/>
      </w:tblPr>
      <w:tblGrid>
        <w:gridCol w:w="3539"/>
        <w:gridCol w:w="6089"/>
      </w:tblGrid>
      <w:tr w:rsidR="005533AD" w14:paraId="1C86AEA7" w14:textId="77777777" w:rsidTr="007043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tcPr>
          <w:p w14:paraId="05111C17" w14:textId="77777777" w:rsidR="005533AD" w:rsidRDefault="005533AD" w:rsidP="00CB0A9B">
            <w:r>
              <w:t>Benefit</w:t>
            </w:r>
          </w:p>
        </w:tc>
        <w:tc>
          <w:tcPr>
            <w:tcW w:w="3162" w:type="pct"/>
          </w:tcPr>
          <w:p w14:paraId="7C6F5F2A" w14:textId="77777777" w:rsidR="005533AD" w:rsidRDefault="005533AD" w:rsidP="00CB0A9B">
            <w:pPr>
              <w:cnfStyle w:val="100000000000" w:firstRow="1" w:lastRow="0" w:firstColumn="0" w:lastColumn="0" w:oddVBand="0" w:evenVBand="0" w:oddHBand="0" w:evenHBand="0" w:firstRowFirstColumn="0" w:firstRowLastColumn="0" w:lastRowFirstColumn="0" w:lastRowLastColumn="0"/>
            </w:pPr>
            <w:r>
              <w:t>Measure</w:t>
            </w:r>
          </w:p>
        </w:tc>
      </w:tr>
      <w:tr w:rsidR="005533AD" w14:paraId="1948916A" w14:textId="77777777" w:rsidTr="0070438D">
        <w:tc>
          <w:tcPr>
            <w:cnfStyle w:val="001000000000" w:firstRow="0" w:lastRow="0" w:firstColumn="1" w:lastColumn="0" w:oddVBand="0" w:evenVBand="0" w:oddHBand="0" w:evenHBand="0" w:firstRowFirstColumn="0" w:firstRowLastColumn="0" w:lastRowFirstColumn="0" w:lastRowLastColumn="0"/>
            <w:tcW w:w="1838" w:type="pct"/>
          </w:tcPr>
          <w:p w14:paraId="75E700DA" w14:textId="4ED41F15" w:rsidR="005533AD" w:rsidRPr="005D2C52" w:rsidRDefault="00EF28F4" w:rsidP="00CB0A9B">
            <w:pPr>
              <w:rPr>
                <w:b w:val="0"/>
                <w:bCs w:val="0"/>
              </w:rPr>
            </w:pPr>
            <w:r>
              <w:rPr>
                <w:b w:val="0"/>
                <w:bCs w:val="0"/>
              </w:rPr>
              <w:t>Improved r</w:t>
            </w:r>
            <w:r w:rsidR="005533AD" w:rsidRPr="005D2C52">
              <w:rPr>
                <w:b w:val="0"/>
                <w:bCs w:val="0"/>
              </w:rPr>
              <w:t>esident health</w:t>
            </w:r>
          </w:p>
        </w:tc>
        <w:tc>
          <w:tcPr>
            <w:tcW w:w="3162" w:type="pct"/>
          </w:tcPr>
          <w:p w14:paraId="63E88EC1" w14:textId="763C60F4" w:rsidR="005533AD" w:rsidRDefault="00D5271A" w:rsidP="002F0C0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Improved health</w:t>
            </w:r>
            <w:r w:rsidR="00994072">
              <w:rPr>
                <w:rFonts w:asciiTheme="minorHAnsi" w:hAnsiTheme="minorHAnsi" w:cstheme="minorHAnsi"/>
              </w:rPr>
              <w:t xml:space="preserve"> (to be defined for each resident)</w:t>
            </w:r>
            <w:r w:rsidR="0035550C">
              <w:rPr>
                <w:rFonts w:asciiTheme="minorHAnsi" w:hAnsiTheme="minorHAnsi" w:cstheme="minorHAnsi"/>
              </w:rPr>
              <w:t>.</w:t>
            </w:r>
          </w:p>
          <w:p w14:paraId="766632D3" w14:textId="056069A7" w:rsidR="006039D5" w:rsidRDefault="006039D5" w:rsidP="006039D5">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Improved mental health (to be defined for each resident)</w:t>
            </w:r>
            <w:r w:rsidR="0035550C">
              <w:rPr>
                <w:rFonts w:asciiTheme="minorHAnsi" w:hAnsiTheme="minorHAnsi" w:cstheme="minorHAnsi"/>
              </w:rPr>
              <w:t>.</w:t>
            </w:r>
          </w:p>
          <w:p w14:paraId="73EB75BB" w14:textId="5EC1ECA1" w:rsidR="00870FE4" w:rsidRDefault="00ED5D59" w:rsidP="002F0C0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Increased rates of vaccination</w:t>
            </w:r>
            <w:r w:rsidR="00854AA0">
              <w:rPr>
                <w:rFonts w:asciiTheme="minorHAnsi" w:hAnsiTheme="minorHAnsi" w:cstheme="minorHAnsi"/>
              </w:rPr>
              <w:t xml:space="preserve"> and anti-viral use</w:t>
            </w:r>
            <w:r w:rsidR="0035550C">
              <w:rPr>
                <w:rFonts w:asciiTheme="minorHAnsi" w:hAnsiTheme="minorHAnsi" w:cstheme="minorHAnsi"/>
              </w:rPr>
              <w:t>.</w:t>
            </w:r>
          </w:p>
          <w:p w14:paraId="3A189046" w14:textId="790330CD" w:rsidR="00794C66" w:rsidRPr="00EF28F4" w:rsidRDefault="007F3B9C" w:rsidP="002F0C0D">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Reduced problematic </w:t>
            </w:r>
            <w:r w:rsidR="006039D5">
              <w:rPr>
                <w:rFonts w:asciiTheme="minorHAnsi" w:hAnsiTheme="minorHAnsi" w:cstheme="minorHAnsi"/>
              </w:rPr>
              <w:t>alcohol and other drug use</w:t>
            </w:r>
            <w:r w:rsidR="00087C41">
              <w:rPr>
                <w:rFonts w:asciiTheme="minorHAnsi" w:hAnsiTheme="minorHAnsi" w:cstheme="minorHAnsi"/>
              </w:rPr>
              <w:t>.</w:t>
            </w:r>
          </w:p>
        </w:tc>
      </w:tr>
      <w:tr w:rsidR="007F3B9C" w14:paraId="37404AA0" w14:textId="77777777" w:rsidTr="0070438D">
        <w:tc>
          <w:tcPr>
            <w:cnfStyle w:val="001000000000" w:firstRow="0" w:lastRow="0" w:firstColumn="1" w:lastColumn="0" w:oddVBand="0" w:evenVBand="0" w:oddHBand="0" w:evenHBand="0" w:firstRowFirstColumn="0" w:firstRowLastColumn="0" w:lastRowFirstColumn="0" w:lastRowLastColumn="0"/>
            <w:tcW w:w="1838" w:type="pct"/>
          </w:tcPr>
          <w:p w14:paraId="2E2EC2EF" w14:textId="706E64CE" w:rsidR="007F3B9C" w:rsidRDefault="007F3B9C" w:rsidP="007F3B9C">
            <w:pPr>
              <w:rPr>
                <w:b w:val="0"/>
                <w:bCs w:val="0"/>
              </w:rPr>
            </w:pPr>
            <w:r>
              <w:rPr>
                <w:b w:val="0"/>
                <w:bCs w:val="0"/>
              </w:rPr>
              <w:t>Improved r</w:t>
            </w:r>
            <w:r w:rsidRPr="005D2C52">
              <w:rPr>
                <w:b w:val="0"/>
                <w:bCs w:val="0"/>
              </w:rPr>
              <w:t>esident wellbeing</w:t>
            </w:r>
          </w:p>
        </w:tc>
        <w:tc>
          <w:tcPr>
            <w:tcW w:w="3162" w:type="pct"/>
          </w:tcPr>
          <w:p w14:paraId="137960AB" w14:textId="509FC8D5"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Increased satisfaction with facility</w:t>
            </w:r>
            <w:r w:rsidR="0035550C">
              <w:rPr>
                <w:rFonts w:asciiTheme="minorHAnsi" w:hAnsiTheme="minorHAnsi" w:cstheme="minorHAnsi"/>
              </w:rPr>
              <w:t>.</w:t>
            </w:r>
          </w:p>
          <w:p w14:paraId="327E2B5B" w14:textId="1CE8863F"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Increased social and economic participation</w:t>
            </w:r>
            <w:r w:rsidR="0035550C">
              <w:rPr>
                <w:rFonts w:asciiTheme="minorHAnsi" w:hAnsiTheme="minorHAnsi" w:cstheme="minorHAnsi"/>
              </w:rPr>
              <w:t>.</w:t>
            </w:r>
          </w:p>
          <w:p w14:paraId="2D52147B" w14:textId="1F72E3D3"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Improved quality of life</w:t>
            </w:r>
            <w:r w:rsidR="0035550C">
              <w:rPr>
                <w:rFonts w:asciiTheme="minorHAnsi" w:hAnsiTheme="minorHAnsi" w:cstheme="minorHAnsi"/>
              </w:rPr>
              <w:t>.</w:t>
            </w:r>
          </w:p>
          <w:p w14:paraId="40E88508" w14:textId="159ACD54"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Increased access and use of external support services</w:t>
            </w:r>
            <w:r w:rsidR="0035550C">
              <w:rPr>
                <w:rFonts w:asciiTheme="minorHAnsi" w:hAnsiTheme="minorHAnsi" w:cstheme="minorHAnsi"/>
              </w:rPr>
              <w:t>.</w:t>
            </w:r>
          </w:p>
          <w:p w14:paraId="52F90BA3" w14:textId="69EB0A9E"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Increased number of residents receiving NDIS and Aged Care services</w:t>
            </w:r>
            <w:r w:rsidR="00087C41">
              <w:rPr>
                <w:rFonts w:asciiTheme="minorHAnsi" w:hAnsiTheme="minorHAnsi" w:cstheme="minorHAnsi"/>
              </w:rPr>
              <w:t>.</w:t>
            </w:r>
          </w:p>
        </w:tc>
      </w:tr>
      <w:tr w:rsidR="007F3B9C" w14:paraId="748B3032" w14:textId="77777777" w:rsidTr="0070438D">
        <w:tc>
          <w:tcPr>
            <w:cnfStyle w:val="001000000000" w:firstRow="0" w:lastRow="0" w:firstColumn="1" w:lastColumn="0" w:oddVBand="0" w:evenVBand="0" w:oddHBand="0" w:evenHBand="0" w:firstRowFirstColumn="0" w:firstRowLastColumn="0" w:lastRowFirstColumn="0" w:lastRowLastColumn="0"/>
            <w:tcW w:w="1838" w:type="pct"/>
          </w:tcPr>
          <w:p w14:paraId="0FFF4516" w14:textId="45168A58" w:rsidR="007F3B9C" w:rsidRPr="007A7A88" w:rsidRDefault="007F3B9C" w:rsidP="007F3B9C">
            <w:pPr>
              <w:rPr>
                <w:b w:val="0"/>
                <w:bCs w:val="0"/>
              </w:rPr>
            </w:pPr>
            <w:r>
              <w:rPr>
                <w:b w:val="0"/>
                <w:bCs w:val="0"/>
              </w:rPr>
              <w:t>Improved resident safety</w:t>
            </w:r>
          </w:p>
        </w:tc>
        <w:tc>
          <w:tcPr>
            <w:tcW w:w="3162" w:type="pct"/>
          </w:tcPr>
          <w:p w14:paraId="1ECCBC51" w14:textId="1E1BD919" w:rsidR="007F3B9C" w:rsidRPr="00EF28F4"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28F4">
              <w:rPr>
                <w:rFonts w:asciiTheme="minorHAnsi" w:hAnsiTheme="minorHAnsi" w:cstheme="minorHAnsi"/>
              </w:rPr>
              <w:t>Reduced incidents, including:</w:t>
            </w:r>
          </w:p>
          <w:p w14:paraId="7F496EC1" w14:textId="4B54F5C9" w:rsidR="007F3B9C" w:rsidRPr="00EF28F4" w:rsidRDefault="007F3B9C" w:rsidP="007F3B9C">
            <w:pPr>
              <w:pStyle w:val="ListParagraph"/>
              <w:numPr>
                <w:ilvl w:val="1"/>
                <w:numId w:val="11"/>
              </w:numPr>
              <w:ind w:left="7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28F4">
              <w:rPr>
                <w:rFonts w:asciiTheme="minorHAnsi" w:hAnsiTheme="minorHAnsi" w:cstheme="minorHAnsi"/>
              </w:rPr>
              <w:t xml:space="preserve">medication </w:t>
            </w:r>
            <w:r w:rsidR="00087C41">
              <w:rPr>
                <w:rFonts w:asciiTheme="minorHAnsi" w:hAnsiTheme="minorHAnsi" w:cstheme="minorHAnsi"/>
              </w:rPr>
              <w:t>and</w:t>
            </w:r>
            <w:r w:rsidRPr="00EF28F4">
              <w:rPr>
                <w:rFonts w:asciiTheme="minorHAnsi" w:hAnsiTheme="minorHAnsi" w:cstheme="minorHAnsi"/>
              </w:rPr>
              <w:t xml:space="preserve"> residents missing medication</w:t>
            </w:r>
          </w:p>
          <w:p w14:paraId="3FD053D1" w14:textId="7B5E86E9" w:rsidR="007F3B9C" w:rsidRPr="00EF28F4" w:rsidRDefault="007F3B9C" w:rsidP="007F3B9C">
            <w:pPr>
              <w:pStyle w:val="ListParagraph"/>
              <w:numPr>
                <w:ilvl w:val="1"/>
                <w:numId w:val="11"/>
              </w:numPr>
              <w:ind w:left="7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28F4">
              <w:rPr>
                <w:rFonts w:asciiTheme="minorHAnsi" w:hAnsiTheme="minorHAnsi" w:cstheme="minorHAnsi"/>
              </w:rPr>
              <w:t>behavioural</w:t>
            </w:r>
          </w:p>
          <w:p w14:paraId="4F0A0B99" w14:textId="070F1D7D" w:rsidR="007F3B9C" w:rsidRPr="00EF28F4" w:rsidRDefault="007F3B9C" w:rsidP="007F3B9C">
            <w:pPr>
              <w:pStyle w:val="ListParagraph"/>
              <w:numPr>
                <w:ilvl w:val="1"/>
                <w:numId w:val="11"/>
              </w:numPr>
              <w:ind w:left="7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F28F4">
              <w:rPr>
                <w:rFonts w:asciiTheme="minorHAnsi" w:hAnsiTheme="minorHAnsi" w:cstheme="minorHAnsi"/>
              </w:rPr>
              <w:t>property damage</w:t>
            </w:r>
            <w:r w:rsidR="00087C41">
              <w:rPr>
                <w:rFonts w:asciiTheme="minorHAnsi" w:hAnsiTheme="minorHAnsi" w:cstheme="minorHAnsi"/>
              </w:rPr>
              <w:t>.</w:t>
            </w:r>
          </w:p>
        </w:tc>
      </w:tr>
      <w:tr w:rsidR="007F3B9C" w14:paraId="6C77959A" w14:textId="77777777" w:rsidTr="0070438D">
        <w:tc>
          <w:tcPr>
            <w:cnfStyle w:val="001000000000" w:firstRow="0" w:lastRow="0" w:firstColumn="1" w:lastColumn="0" w:oddVBand="0" w:evenVBand="0" w:oddHBand="0" w:evenHBand="0" w:firstRowFirstColumn="0" w:firstRowLastColumn="0" w:lastRowFirstColumn="0" w:lastRowLastColumn="0"/>
            <w:tcW w:w="1838" w:type="pct"/>
          </w:tcPr>
          <w:p w14:paraId="6A1457C2" w14:textId="00B8A563" w:rsidR="007F3B9C" w:rsidRDefault="007F3B9C" w:rsidP="007F3B9C">
            <w:pPr>
              <w:rPr>
                <w:b w:val="0"/>
                <w:bCs w:val="0"/>
              </w:rPr>
            </w:pPr>
            <w:r>
              <w:rPr>
                <w:b w:val="0"/>
                <w:bCs w:val="0"/>
              </w:rPr>
              <w:t xml:space="preserve">Improved </w:t>
            </w:r>
            <w:r w:rsidR="0001391D">
              <w:rPr>
                <w:b w:val="0"/>
                <w:bCs w:val="0"/>
              </w:rPr>
              <w:t xml:space="preserve">resident </w:t>
            </w:r>
            <w:r>
              <w:rPr>
                <w:b w:val="0"/>
                <w:bCs w:val="0"/>
              </w:rPr>
              <w:t>housing stability</w:t>
            </w:r>
          </w:p>
        </w:tc>
        <w:tc>
          <w:tcPr>
            <w:tcW w:w="3162" w:type="pct"/>
          </w:tcPr>
          <w:p w14:paraId="372A9D13" w14:textId="6EC3C16A"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Reduced rate of evictions</w:t>
            </w:r>
            <w:r w:rsidR="0035550C">
              <w:rPr>
                <w:rFonts w:asciiTheme="minorHAnsi" w:hAnsiTheme="minorHAnsi" w:cstheme="minorHAnsi"/>
              </w:rPr>
              <w:t>.</w:t>
            </w:r>
          </w:p>
          <w:p w14:paraId="29779ABA" w14:textId="0A742DC6" w:rsidR="007F3B9C" w:rsidRPr="00EF28F4"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Increased rate of residents exiting to stable housing</w:t>
            </w:r>
            <w:r w:rsidR="00087C41">
              <w:rPr>
                <w:rFonts w:asciiTheme="minorHAnsi" w:hAnsiTheme="minorHAnsi" w:cstheme="minorHAnsi"/>
              </w:rPr>
              <w:t>.</w:t>
            </w:r>
          </w:p>
        </w:tc>
      </w:tr>
      <w:tr w:rsidR="007F3B9C" w14:paraId="6D89C3D0" w14:textId="77777777" w:rsidTr="0070438D">
        <w:tc>
          <w:tcPr>
            <w:cnfStyle w:val="001000000000" w:firstRow="0" w:lastRow="0" w:firstColumn="1" w:lastColumn="0" w:oddVBand="0" w:evenVBand="0" w:oddHBand="0" w:evenHBand="0" w:firstRowFirstColumn="0" w:firstRowLastColumn="0" w:lastRowFirstColumn="0" w:lastRowLastColumn="0"/>
            <w:tcW w:w="1838" w:type="pct"/>
          </w:tcPr>
          <w:p w14:paraId="1AC4F0C4" w14:textId="1BAF1975" w:rsidR="007F3B9C" w:rsidRPr="007A7A88" w:rsidRDefault="007F3B9C" w:rsidP="007F3B9C">
            <w:pPr>
              <w:rPr>
                <w:b w:val="0"/>
                <w:bCs w:val="0"/>
              </w:rPr>
            </w:pPr>
            <w:r>
              <w:rPr>
                <w:b w:val="0"/>
                <w:bCs w:val="0"/>
              </w:rPr>
              <w:t>Reduced emergency/crisis</w:t>
            </w:r>
            <w:r w:rsidR="0069472D">
              <w:rPr>
                <w:b w:val="0"/>
                <w:bCs w:val="0"/>
              </w:rPr>
              <w:t xml:space="preserve"> responses</w:t>
            </w:r>
          </w:p>
        </w:tc>
        <w:tc>
          <w:tcPr>
            <w:tcW w:w="3162" w:type="pct"/>
          </w:tcPr>
          <w:p w14:paraId="387F3CCF" w14:textId="66DFFEA9" w:rsidR="007F3B9C" w:rsidRPr="00AD23C4"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D23C4">
              <w:rPr>
                <w:rFonts w:asciiTheme="minorHAnsi" w:hAnsiTheme="minorHAnsi" w:cstheme="minorHAnsi"/>
              </w:rPr>
              <w:t>Reduced ambulance callouts</w:t>
            </w:r>
            <w:r w:rsidR="0035550C">
              <w:rPr>
                <w:rFonts w:asciiTheme="minorHAnsi" w:hAnsiTheme="minorHAnsi" w:cstheme="minorHAnsi"/>
              </w:rPr>
              <w:t>.</w:t>
            </w:r>
          </w:p>
          <w:p w14:paraId="3DD9FB34" w14:textId="3A397CAD" w:rsidR="007F3B9C" w:rsidRPr="00AD23C4"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D23C4">
              <w:rPr>
                <w:rFonts w:asciiTheme="minorHAnsi" w:hAnsiTheme="minorHAnsi" w:cstheme="minorHAnsi"/>
              </w:rPr>
              <w:t>Reduced police callouts</w:t>
            </w:r>
            <w:r w:rsidR="0035550C">
              <w:rPr>
                <w:rFonts w:asciiTheme="minorHAnsi" w:hAnsiTheme="minorHAnsi" w:cstheme="minorHAnsi"/>
              </w:rPr>
              <w:t>.</w:t>
            </w:r>
          </w:p>
          <w:p w14:paraId="743E438F" w14:textId="4A70C62C"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D23C4">
              <w:rPr>
                <w:rFonts w:asciiTheme="minorHAnsi" w:hAnsiTheme="minorHAnsi" w:cstheme="minorHAnsi"/>
              </w:rPr>
              <w:t>Reduced presentations to emergency departments</w:t>
            </w:r>
            <w:r w:rsidR="0035550C">
              <w:rPr>
                <w:rFonts w:asciiTheme="minorHAnsi" w:hAnsiTheme="minorHAnsi" w:cstheme="minorHAnsi"/>
              </w:rPr>
              <w:t>.</w:t>
            </w:r>
          </w:p>
          <w:p w14:paraId="105559C3" w14:textId="260CBDCD" w:rsidR="007F3B9C" w:rsidRPr="00AD23C4"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Reduce acute mental health care team callouts</w:t>
            </w:r>
            <w:r w:rsidR="00087C41">
              <w:rPr>
                <w:rFonts w:asciiTheme="minorHAnsi" w:hAnsiTheme="minorHAnsi" w:cstheme="minorHAnsi"/>
              </w:rPr>
              <w:t>.</w:t>
            </w:r>
          </w:p>
        </w:tc>
      </w:tr>
      <w:tr w:rsidR="007F3B9C" w14:paraId="689B1F4E" w14:textId="77777777" w:rsidTr="0070438D">
        <w:tc>
          <w:tcPr>
            <w:cnfStyle w:val="001000000000" w:firstRow="0" w:lastRow="0" w:firstColumn="1" w:lastColumn="0" w:oddVBand="0" w:evenVBand="0" w:oddHBand="0" w:evenHBand="0" w:firstRowFirstColumn="0" w:firstRowLastColumn="0" w:lastRowFirstColumn="0" w:lastRowLastColumn="0"/>
            <w:tcW w:w="1838" w:type="pct"/>
          </w:tcPr>
          <w:p w14:paraId="034AC968" w14:textId="625CE33D" w:rsidR="007F3B9C" w:rsidRDefault="007F3B9C" w:rsidP="007F3B9C">
            <w:pPr>
              <w:rPr>
                <w:b w:val="0"/>
                <w:bCs w:val="0"/>
              </w:rPr>
            </w:pPr>
            <w:r>
              <w:rPr>
                <w:b w:val="0"/>
                <w:bCs w:val="0"/>
              </w:rPr>
              <w:t>Improved staff skills and wellbeing</w:t>
            </w:r>
          </w:p>
        </w:tc>
        <w:tc>
          <w:tcPr>
            <w:tcW w:w="3162" w:type="pct"/>
          </w:tcPr>
          <w:p w14:paraId="682FF740" w14:textId="636F7134"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Increased confidence in working with vulnerable residents</w:t>
            </w:r>
            <w:r w:rsidR="0035550C">
              <w:rPr>
                <w:rFonts w:asciiTheme="minorHAnsi" w:hAnsiTheme="minorHAnsi" w:cstheme="minorHAnsi"/>
              </w:rPr>
              <w:t>.</w:t>
            </w:r>
          </w:p>
          <w:p w14:paraId="2690609E" w14:textId="4556D552" w:rsidR="00222773"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Reduced incidents impacting staff</w:t>
            </w:r>
            <w:r w:rsidR="0035550C">
              <w:rPr>
                <w:rFonts w:asciiTheme="minorHAnsi" w:hAnsiTheme="minorHAnsi" w:cstheme="minorHAnsi"/>
              </w:rPr>
              <w:t>.</w:t>
            </w:r>
          </w:p>
          <w:p w14:paraId="671D42DE" w14:textId="1F062C1F" w:rsidR="007F3B9C" w:rsidRPr="00AD23C4" w:rsidRDefault="00222773"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Increased retention rates of staff</w:t>
            </w:r>
            <w:r w:rsidR="00087C41">
              <w:rPr>
                <w:rFonts w:asciiTheme="minorHAnsi" w:hAnsiTheme="minorHAnsi" w:cstheme="minorHAnsi"/>
              </w:rPr>
              <w:t>.</w:t>
            </w:r>
          </w:p>
        </w:tc>
      </w:tr>
      <w:tr w:rsidR="007F3B9C" w14:paraId="1C63955A" w14:textId="77777777" w:rsidTr="0070438D">
        <w:tc>
          <w:tcPr>
            <w:cnfStyle w:val="001000000000" w:firstRow="0" w:lastRow="0" w:firstColumn="1" w:lastColumn="0" w:oddVBand="0" w:evenVBand="0" w:oddHBand="0" w:evenHBand="0" w:firstRowFirstColumn="0" w:firstRowLastColumn="0" w:lastRowFirstColumn="0" w:lastRowLastColumn="0"/>
            <w:tcW w:w="1838" w:type="pct"/>
          </w:tcPr>
          <w:p w14:paraId="35DE23D9" w14:textId="62D53243" w:rsidR="007F3B9C" w:rsidRDefault="00222773" w:rsidP="007F3B9C">
            <w:pPr>
              <w:rPr>
                <w:b w:val="0"/>
                <w:bCs w:val="0"/>
              </w:rPr>
            </w:pPr>
            <w:r>
              <w:rPr>
                <w:b w:val="0"/>
                <w:bCs w:val="0"/>
              </w:rPr>
              <w:t xml:space="preserve">Improved viability </w:t>
            </w:r>
            <w:r w:rsidR="007F3B9C">
              <w:rPr>
                <w:b w:val="0"/>
                <w:bCs w:val="0"/>
              </w:rPr>
              <w:t>of sector</w:t>
            </w:r>
          </w:p>
        </w:tc>
        <w:tc>
          <w:tcPr>
            <w:tcW w:w="3162" w:type="pct"/>
          </w:tcPr>
          <w:p w14:paraId="63409CB3" w14:textId="2F42872D"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Increased number of beds available</w:t>
            </w:r>
            <w:r w:rsidR="0035550C">
              <w:rPr>
                <w:rFonts w:asciiTheme="minorHAnsi" w:hAnsiTheme="minorHAnsi" w:cstheme="minorHAnsi"/>
              </w:rPr>
              <w:t>.</w:t>
            </w:r>
          </w:p>
          <w:p w14:paraId="26120557" w14:textId="3B5BE6A9" w:rsidR="007F3B9C" w:rsidRDefault="007F3B9C" w:rsidP="007F3B9C">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Reduced rate of facility closures</w:t>
            </w:r>
            <w:r w:rsidR="00087C41">
              <w:rPr>
                <w:rFonts w:asciiTheme="minorHAnsi" w:hAnsiTheme="minorHAnsi" w:cstheme="minorHAnsi"/>
              </w:rPr>
              <w:t>.</w:t>
            </w:r>
          </w:p>
        </w:tc>
      </w:tr>
    </w:tbl>
    <w:p w14:paraId="5929F773" w14:textId="77777777" w:rsidR="000161C3" w:rsidRDefault="000161C3" w:rsidP="00A4193F">
      <w:pPr>
        <w:spacing w:after="120"/>
      </w:pPr>
    </w:p>
    <w:p w14:paraId="1A2CEA4D" w14:textId="4C6AA5F0" w:rsidR="00465A1C" w:rsidRDefault="00465A1C">
      <w:r>
        <w:br w:type="page"/>
      </w:r>
    </w:p>
    <w:p w14:paraId="4EF144AE" w14:textId="43EFADC4" w:rsidR="006079D8" w:rsidRDefault="006079D8" w:rsidP="006079D8">
      <w:pPr>
        <w:pStyle w:val="Heading1"/>
        <w:spacing w:before="120"/>
        <w:rPr>
          <w:b/>
          <w:bCs/>
          <w:sz w:val="28"/>
          <w:szCs w:val="28"/>
        </w:rPr>
      </w:pPr>
      <w:r>
        <w:rPr>
          <w:b/>
          <w:bCs/>
          <w:sz w:val="28"/>
          <w:szCs w:val="28"/>
        </w:rPr>
        <w:lastRenderedPageBreak/>
        <w:t xml:space="preserve">Appendix 1 – </w:t>
      </w:r>
      <w:r w:rsidR="00195A98">
        <w:rPr>
          <w:b/>
          <w:bCs/>
          <w:sz w:val="28"/>
          <w:szCs w:val="28"/>
        </w:rPr>
        <w:t xml:space="preserve">Proposed </w:t>
      </w:r>
      <w:r w:rsidR="00A07019">
        <w:rPr>
          <w:b/>
          <w:bCs/>
          <w:sz w:val="28"/>
          <w:szCs w:val="28"/>
        </w:rPr>
        <w:t>Grouping of Facilities</w:t>
      </w:r>
      <w:r w:rsidR="007A67D0">
        <w:rPr>
          <w:b/>
          <w:bCs/>
          <w:sz w:val="28"/>
          <w:szCs w:val="28"/>
        </w:rPr>
        <w:t xml:space="preserve"> for Model 2 and Model 2a</w:t>
      </w:r>
    </w:p>
    <w:p w14:paraId="0557FE0D" w14:textId="77777777" w:rsidR="000A0D96" w:rsidRDefault="000A0D96" w:rsidP="00E63E2A">
      <w:pPr>
        <w:spacing w:after="120"/>
      </w:pPr>
    </w:p>
    <w:tbl>
      <w:tblPr>
        <w:tblW w:w="87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964"/>
        <w:gridCol w:w="992"/>
        <w:gridCol w:w="1276"/>
        <w:gridCol w:w="1411"/>
      </w:tblGrid>
      <w:tr w:rsidR="00F9630D" w:rsidRPr="000A0D96" w14:paraId="7E738D04" w14:textId="3B0B08C9" w:rsidTr="00F9630D">
        <w:trPr>
          <w:trHeight w:val="508"/>
        </w:trPr>
        <w:tc>
          <w:tcPr>
            <w:tcW w:w="1140" w:type="dxa"/>
            <w:vAlign w:val="center"/>
            <w:hideMark/>
          </w:tcPr>
          <w:p w14:paraId="2EDCAB64" w14:textId="652D5418" w:rsidR="00F9630D" w:rsidRPr="000A0D96" w:rsidRDefault="00F9630D" w:rsidP="00F2710D">
            <w:pPr>
              <w:spacing w:after="0" w:line="240" w:lineRule="auto"/>
              <w:jc w:val="center"/>
              <w:rPr>
                <w:rFonts w:ascii="Aptos Narrow" w:eastAsia="Times New Roman" w:hAnsi="Aptos Narrow" w:cs="Times New Roman"/>
                <w:b/>
                <w:bCs/>
                <w:color w:val="000000"/>
                <w:sz w:val="18"/>
                <w:szCs w:val="18"/>
                <w:lang w:eastAsia="en-AU"/>
              </w:rPr>
            </w:pPr>
            <w:r w:rsidRPr="000A0D96">
              <w:rPr>
                <w:rFonts w:ascii="Aptos Narrow" w:eastAsia="Times New Roman" w:hAnsi="Aptos Narrow" w:cs="Times New Roman"/>
                <w:b/>
                <w:bCs/>
                <w:color w:val="000000"/>
                <w:sz w:val="18"/>
                <w:szCs w:val="18"/>
                <w:lang w:eastAsia="en-AU"/>
              </w:rPr>
              <w:t>Ref</w:t>
            </w:r>
            <w:r>
              <w:rPr>
                <w:rFonts w:ascii="Aptos Narrow" w:eastAsia="Times New Roman" w:hAnsi="Aptos Narrow" w:cs="Times New Roman"/>
                <w:b/>
                <w:bCs/>
                <w:color w:val="000000"/>
                <w:sz w:val="18"/>
                <w:szCs w:val="18"/>
                <w:lang w:eastAsia="en-AU"/>
              </w:rPr>
              <w:t xml:space="preserve"> </w:t>
            </w:r>
            <w:r w:rsidRPr="000A0D96">
              <w:rPr>
                <w:rFonts w:ascii="Aptos Narrow" w:eastAsia="Times New Roman" w:hAnsi="Aptos Narrow" w:cs="Times New Roman"/>
                <w:b/>
                <w:bCs/>
                <w:color w:val="000000"/>
                <w:sz w:val="18"/>
                <w:szCs w:val="18"/>
                <w:lang w:eastAsia="en-AU"/>
              </w:rPr>
              <w:t>Number</w:t>
            </w:r>
          </w:p>
        </w:tc>
        <w:tc>
          <w:tcPr>
            <w:tcW w:w="3964" w:type="dxa"/>
            <w:vAlign w:val="center"/>
            <w:hideMark/>
          </w:tcPr>
          <w:p w14:paraId="62A7E475" w14:textId="77777777" w:rsidR="00F9630D" w:rsidRPr="000A0D96" w:rsidRDefault="00F9630D" w:rsidP="00F2710D">
            <w:pPr>
              <w:spacing w:after="0" w:line="240" w:lineRule="auto"/>
              <w:jc w:val="center"/>
              <w:rPr>
                <w:rFonts w:ascii="Aptos Narrow" w:eastAsia="Times New Roman" w:hAnsi="Aptos Narrow" w:cs="Times New Roman"/>
                <w:b/>
                <w:bCs/>
                <w:color w:val="000000"/>
                <w:sz w:val="18"/>
                <w:szCs w:val="18"/>
                <w:lang w:eastAsia="en-AU"/>
              </w:rPr>
            </w:pPr>
            <w:r w:rsidRPr="000A0D96">
              <w:rPr>
                <w:rFonts w:ascii="Aptos Narrow" w:eastAsia="Times New Roman" w:hAnsi="Aptos Narrow" w:cs="Times New Roman"/>
                <w:b/>
                <w:bCs/>
                <w:color w:val="000000"/>
                <w:sz w:val="18"/>
                <w:szCs w:val="18"/>
                <w:lang w:eastAsia="en-AU"/>
              </w:rPr>
              <w:t>Street Address</w:t>
            </w:r>
          </w:p>
        </w:tc>
        <w:tc>
          <w:tcPr>
            <w:tcW w:w="992" w:type="dxa"/>
            <w:vAlign w:val="center"/>
            <w:hideMark/>
          </w:tcPr>
          <w:p w14:paraId="5DF44122" w14:textId="13C0879B" w:rsidR="00F9630D" w:rsidRPr="000A0D96" w:rsidRDefault="00F9630D" w:rsidP="00F2710D">
            <w:pPr>
              <w:spacing w:after="0" w:line="240" w:lineRule="auto"/>
              <w:jc w:val="center"/>
              <w:rPr>
                <w:rFonts w:ascii="Aptos Narrow" w:eastAsia="Times New Roman" w:hAnsi="Aptos Narrow" w:cs="Times New Roman"/>
                <w:b/>
                <w:bCs/>
                <w:color w:val="000000"/>
                <w:sz w:val="18"/>
                <w:szCs w:val="18"/>
                <w:lang w:eastAsia="en-AU"/>
              </w:rPr>
            </w:pPr>
            <w:r w:rsidRPr="000A0D96">
              <w:rPr>
                <w:rFonts w:ascii="Aptos Narrow" w:eastAsia="Times New Roman" w:hAnsi="Aptos Narrow" w:cs="Times New Roman"/>
                <w:b/>
                <w:bCs/>
                <w:color w:val="000000"/>
                <w:sz w:val="18"/>
                <w:szCs w:val="18"/>
                <w:lang w:eastAsia="en-AU"/>
              </w:rPr>
              <w:t>Resident</w:t>
            </w:r>
            <w:r w:rsidRPr="008F2388">
              <w:rPr>
                <w:rFonts w:ascii="Aptos Narrow" w:eastAsia="Times New Roman" w:hAnsi="Aptos Narrow" w:cs="Times New Roman"/>
                <w:b/>
                <w:bCs/>
                <w:color w:val="000000"/>
                <w:sz w:val="18"/>
                <w:szCs w:val="18"/>
                <w:lang w:eastAsia="en-AU"/>
              </w:rPr>
              <w:t>s (Max)</w:t>
            </w:r>
          </w:p>
        </w:tc>
        <w:tc>
          <w:tcPr>
            <w:tcW w:w="1276" w:type="dxa"/>
            <w:vAlign w:val="center"/>
          </w:tcPr>
          <w:p w14:paraId="539B6CFF" w14:textId="6AF8C8A2" w:rsidR="00F9630D" w:rsidRPr="000A0D96" w:rsidRDefault="004B1627" w:rsidP="00F2710D">
            <w:pPr>
              <w:spacing w:after="0" w:line="240" w:lineRule="auto"/>
              <w:jc w:val="center"/>
              <w:rPr>
                <w:rFonts w:ascii="Aptos Narrow" w:eastAsia="Times New Roman" w:hAnsi="Aptos Narrow" w:cs="Times New Roman"/>
                <w:b/>
                <w:bCs/>
                <w:color w:val="000000"/>
                <w:sz w:val="18"/>
                <w:szCs w:val="18"/>
                <w:lang w:eastAsia="en-AU"/>
              </w:rPr>
            </w:pPr>
            <w:r>
              <w:rPr>
                <w:rFonts w:ascii="Aptos Narrow" w:eastAsia="Times New Roman" w:hAnsi="Aptos Narrow" w:cs="Times New Roman"/>
                <w:b/>
                <w:bCs/>
                <w:color w:val="000000"/>
                <w:sz w:val="18"/>
                <w:szCs w:val="18"/>
                <w:lang w:eastAsia="en-AU"/>
              </w:rPr>
              <w:t>Model 2:</w:t>
            </w:r>
            <w:r>
              <w:rPr>
                <w:rFonts w:ascii="Aptos Narrow" w:eastAsia="Times New Roman" w:hAnsi="Aptos Narrow" w:cs="Times New Roman"/>
                <w:b/>
                <w:bCs/>
                <w:color w:val="000000"/>
                <w:sz w:val="18"/>
                <w:szCs w:val="18"/>
                <w:lang w:eastAsia="en-AU"/>
              </w:rPr>
              <w:br/>
            </w:r>
            <w:r w:rsidR="00F9630D">
              <w:rPr>
                <w:rFonts w:ascii="Aptos Narrow" w:eastAsia="Times New Roman" w:hAnsi="Aptos Narrow" w:cs="Times New Roman"/>
                <w:b/>
                <w:bCs/>
                <w:color w:val="000000"/>
                <w:sz w:val="18"/>
                <w:szCs w:val="18"/>
                <w:lang w:eastAsia="en-AU"/>
              </w:rPr>
              <w:t>Case Manager + Support Workers</w:t>
            </w:r>
          </w:p>
        </w:tc>
        <w:tc>
          <w:tcPr>
            <w:tcW w:w="1411" w:type="dxa"/>
            <w:vAlign w:val="center"/>
          </w:tcPr>
          <w:p w14:paraId="4DEC259C" w14:textId="77777777" w:rsidR="00F9630D" w:rsidRDefault="00F9630D" w:rsidP="00F2710D">
            <w:pPr>
              <w:spacing w:after="0" w:line="240" w:lineRule="auto"/>
              <w:jc w:val="center"/>
              <w:rPr>
                <w:rFonts w:ascii="Aptos Narrow" w:eastAsia="Times New Roman" w:hAnsi="Aptos Narrow" w:cs="Times New Roman"/>
                <w:b/>
                <w:bCs/>
                <w:color w:val="000000"/>
                <w:sz w:val="18"/>
                <w:szCs w:val="18"/>
                <w:lang w:eastAsia="en-AU"/>
              </w:rPr>
            </w:pPr>
            <w:r>
              <w:rPr>
                <w:rFonts w:ascii="Aptos Narrow" w:eastAsia="Times New Roman" w:hAnsi="Aptos Narrow" w:cs="Times New Roman"/>
                <w:b/>
                <w:bCs/>
                <w:color w:val="000000"/>
                <w:sz w:val="18"/>
                <w:szCs w:val="18"/>
                <w:lang w:eastAsia="en-AU"/>
              </w:rPr>
              <w:t>Model 2a</w:t>
            </w:r>
            <w:r w:rsidR="004B1627">
              <w:rPr>
                <w:rFonts w:ascii="Aptos Narrow" w:eastAsia="Times New Roman" w:hAnsi="Aptos Narrow" w:cs="Times New Roman"/>
                <w:b/>
                <w:bCs/>
                <w:color w:val="000000"/>
                <w:sz w:val="18"/>
                <w:szCs w:val="18"/>
                <w:lang w:eastAsia="en-AU"/>
              </w:rPr>
              <w:t>:</w:t>
            </w:r>
          </w:p>
          <w:p w14:paraId="315CD745" w14:textId="48FAD772" w:rsidR="004B1627" w:rsidRDefault="004B1627" w:rsidP="00F2710D">
            <w:pPr>
              <w:spacing w:after="0" w:line="240" w:lineRule="auto"/>
              <w:jc w:val="center"/>
              <w:rPr>
                <w:rFonts w:ascii="Aptos Narrow" w:eastAsia="Times New Roman" w:hAnsi="Aptos Narrow" w:cs="Times New Roman"/>
                <w:b/>
                <w:bCs/>
                <w:color w:val="000000"/>
                <w:sz w:val="18"/>
                <w:szCs w:val="18"/>
                <w:lang w:eastAsia="en-AU"/>
              </w:rPr>
            </w:pPr>
            <w:r>
              <w:rPr>
                <w:rFonts w:ascii="Aptos Narrow" w:eastAsia="Times New Roman" w:hAnsi="Aptos Narrow" w:cs="Times New Roman"/>
                <w:b/>
                <w:bCs/>
                <w:color w:val="000000"/>
                <w:sz w:val="18"/>
                <w:szCs w:val="18"/>
                <w:lang w:eastAsia="en-AU"/>
              </w:rPr>
              <w:t>Additional Support Workers</w:t>
            </w:r>
          </w:p>
        </w:tc>
      </w:tr>
      <w:tr w:rsidR="00F9630D" w:rsidRPr="000A0D96" w14:paraId="1FF6F0E5" w14:textId="5BD565F1" w:rsidTr="00F9630D">
        <w:trPr>
          <w:trHeight w:val="283"/>
        </w:trPr>
        <w:tc>
          <w:tcPr>
            <w:tcW w:w="1140" w:type="dxa"/>
            <w:noWrap/>
            <w:vAlign w:val="bottom"/>
            <w:hideMark/>
          </w:tcPr>
          <w:p w14:paraId="31F5C039" w14:textId="77777777"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RS00000005</w:t>
            </w:r>
          </w:p>
        </w:tc>
        <w:tc>
          <w:tcPr>
            <w:tcW w:w="3964" w:type="dxa"/>
            <w:vAlign w:val="bottom"/>
            <w:hideMark/>
          </w:tcPr>
          <w:p w14:paraId="3BDC2898" w14:textId="77777777"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52 CHALK ST, WOOLOOWIN, 4030</w:t>
            </w:r>
          </w:p>
        </w:tc>
        <w:tc>
          <w:tcPr>
            <w:tcW w:w="992" w:type="dxa"/>
            <w:noWrap/>
            <w:vAlign w:val="center"/>
            <w:hideMark/>
          </w:tcPr>
          <w:p w14:paraId="080E198D" w14:textId="7777777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30</w:t>
            </w:r>
          </w:p>
        </w:tc>
        <w:tc>
          <w:tcPr>
            <w:tcW w:w="1276" w:type="dxa"/>
            <w:vAlign w:val="center"/>
          </w:tcPr>
          <w:p w14:paraId="0A294D36" w14:textId="5AD68746"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1 x CM, 2 x SW</w:t>
            </w:r>
          </w:p>
        </w:tc>
        <w:tc>
          <w:tcPr>
            <w:tcW w:w="1411" w:type="dxa"/>
            <w:vAlign w:val="center"/>
          </w:tcPr>
          <w:p w14:paraId="24B4B714" w14:textId="0AD1F0FA"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w:t>
            </w:r>
          </w:p>
        </w:tc>
      </w:tr>
      <w:tr w:rsidR="00F9630D" w:rsidRPr="000A0D96" w14:paraId="6520E242" w14:textId="321C0D4C" w:rsidTr="00F9630D">
        <w:trPr>
          <w:trHeight w:val="283"/>
        </w:trPr>
        <w:tc>
          <w:tcPr>
            <w:tcW w:w="1140" w:type="dxa"/>
            <w:noWrap/>
            <w:vAlign w:val="bottom"/>
            <w:hideMark/>
          </w:tcPr>
          <w:p w14:paraId="5F843D48"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RS00000011</w:t>
            </w:r>
          </w:p>
        </w:tc>
        <w:tc>
          <w:tcPr>
            <w:tcW w:w="3964" w:type="dxa"/>
            <w:vAlign w:val="bottom"/>
            <w:hideMark/>
          </w:tcPr>
          <w:p w14:paraId="6F2FE6EB" w14:textId="543C3861"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DIAMOND LODGE AND DIAMOND HOUSE</w:t>
            </w:r>
          </w:p>
        </w:tc>
        <w:tc>
          <w:tcPr>
            <w:tcW w:w="992" w:type="dxa"/>
            <w:noWrap/>
            <w:vAlign w:val="center"/>
            <w:hideMark/>
          </w:tcPr>
          <w:p w14:paraId="1BBAB790"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55</w:t>
            </w:r>
          </w:p>
        </w:tc>
        <w:tc>
          <w:tcPr>
            <w:tcW w:w="1276" w:type="dxa"/>
          </w:tcPr>
          <w:p w14:paraId="1041F507" w14:textId="7D50D51A"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7936E8A9" w14:textId="3C7E17D3"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6C93F296" w14:textId="4ABEFE47" w:rsidTr="00F9630D">
        <w:trPr>
          <w:trHeight w:val="283"/>
        </w:trPr>
        <w:tc>
          <w:tcPr>
            <w:tcW w:w="1140" w:type="dxa"/>
            <w:noWrap/>
            <w:vAlign w:val="bottom"/>
            <w:hideMark/>
          </w:tcPr>
          <w:p w14:paraId="3994DABD"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RS00000013</w:t>
            </w:r>
          </w:p>
        </w:tc>
        <w:tc>
          <w:tcPr>
            <w:tcW w:w="3964" w:type="dxa"/>
            <w:vAlign w:val="bottom"/>
            <w:hideMark/>
          </w:tcPr>
          <w:p w14:paraId="1E98598E" w14:textId="254BB948"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TARAMPA LODGE</w:t>
            </w:r>
          </w:p>
        </w:tc>
        <w:tc>
          <w:tcPr>
            <w:tcW w:w="992" w:type="dxa"/>
            <w:noWrap/>
            <w:vAlign w:val="center"/>
            <w:hideMark/>
          </w:tcPr>
          <w:p w14:paraId="55B06EB5"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64</w:t>
            </w:r>
          </w:p>
        </w:tc>
        <w:tc>
          <w:tcPr>
            <w:tcW w:w="1276" w:type="dxa"/>
          </w:tcPr>
          <w:p w14:paraId="2B5BD2D2" w14:textId="210C4081"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1C2DCF9F" w14:textId="315E7CBA"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74A46185" w14:textId="75DC4B63" w:rsidTr="00F9630D">
        <w:trPr>
          <w:trHeight w:val="283"/>
        </w:trPr>
        <w:tc>
          <w:tcPr>
            <w:tcW w:w="1140" w:type="dxa"/>
            <w:noWrap/>
            <w:vAlign w:val="bottom"/>
            <w:hideMark/>
          </w:tcPr>
          <w:p w14:paraId="5199F1AF"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RS00000015</w:t>
            </w:r>
          </w:p>
        </w:tc>
        <w:tc>
          <w:tcPr>
            <w:tcW w:w="3964" w:type="dxa"/>
            <w:vAlign w:val="bottom"/>
            <w:hideMark/>
          </w:tcPr>
          <w:p w14:paraId="19D99F71" w14:textId="0D23FE21"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CLAYFIELD HOUSE</w:t>
            </w:r>
          </w:p>
        </w:tc>
        <w:tc>
          <w:tcPr>
            <w:tcW w:w="992" w:type="dxa"/>
            <w:noWrap/>
            <w:vAlign w:val="center"/>
            <w:hideMark/>
          </w:tcPr>
          <w:p w14:paraId="4CC675DC"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75</w:t>
            </w:r>
          </w:p>
        </w:tc>
        <w:tc>
          <w:tcPr>
            <w:tcW w:w="1276" w:type="dxa"/>
          </w:tcPr>
          <w:p w14:paraId="4AAB5485" w14:textId="79EF880B"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1F451CF6" w14:textId="3F3F3FE0"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+ 2xSW (Day)</w:t>
            </w:r>
          </w:p>
        </w:tc>
      </w:tr>
      <w:tr w:rsidR="00F9630D" w:rsidRPr="000A0D96" w14:paraId="01B47A7C" w14:textId="26C83C6C" w:rsidTr="00F9630D">
        <w:trPr>
          <w:trHeight w:val="283"/>
        </w:trPr>
        <w:tc>
          <w:tcPr>
            <w:tcW w:w="1140" w:type="dxa"/>
            <w:noWrap/>
            <w:vAlign w:val="bottom"/>
            <w:hideMark/>
          </w:tcPr>
          <w:p w14:paraId="613E1B08"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RS00000016</w:t>
            </w:r>
          </w:p>
        </w:tc>
        <w:tc>
          <w:tcPr>
            <w:tcW w:w="3964" w:type="dxa"/>
            <w:vAlign w:val="bottom"/>
            <w:hideMark/>
          </w:tcPr>
          <w:p w14:paraId="269FFB84" w14:textId="6FAA897D"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COTLEW MANOR</w:t>
            </w:r>
          </w:p>
        </w:tc>
        <w:tc>
          <w:tcPr>
            <w:tcW w:w="992" w:type="dxa"/>
            <w:noWrap/>
            <w:vAlign w:val="center"/>
            <w:hideMark/>
          </w:tcPr>
          <w:p w14:paraId="6280C939"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62</w:t>
            </w:r>
          </w:p>
        </w:tc>
        <w:tc>
          <w:tcPr>
            <w:tcW w:w="1276" w:type="dxa"/>
          </w:tcPr>
          <w:p w14:paraId="156D2DE1" w14:textId="7543061A"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6AC2B261" w14:textId="7882527B"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10060BB7" w14:textId="2E162F18" w:rsidTr="00F9630D">
        <w:trPr>
          <w:trHeight w:val="283"/>
        </w:trPr>
        <w:tc>
          <w:tcPr>
            <w:tcW w:w="1140" w:type="dxa"/>
            <w:noWrap/>
            <w:vAlign w:val="bottom"/>
            <w:hideMark/>
          </w:tcPr>
          <w:p w14:paraId="03CB944F"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RS00000019</w:t>
            </w:r>
          </w:p>
        </w:tc>
        <w:tc>
          <w:tcPr>
            <w:tcW w:w="3964" w:type="dxa"/>
            <w:vAlign w:val="bottom"/>
            <w:hideMark/>
          </w:tcPr>
          <w:p w14:paraId="34054317" w14:textId="2FEC43EF"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THOMAS HENRY HOUSE</w:t>
            </w:r>
          </w:p>
        </w:tc>
        <w:tc>
          <w:tcPr>
            <w:tcW w:w="992" w:type="dxa"/>
            <w:noWrap/>
            <w:vAlign w:val="center"/>
            <w:hideMark/>
          </w:tcPr>
          <w:p w14:paraId="48EB9027"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29</w:t>
            </w:r>
          </w:p>
        </w:tc>
        <w:tc>
          <w:tcPr>
            <w:tcW w:w="1276" w:type="dxa"/>
          </w:tcPr>
          <w:p w14:paraId="7A825E88" w14:textId="274E1A3E"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2419645E"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2D4DDAB8" w14:textId="0ED2C5B9" w:rsidTr="00F9630D">
        <w:trPr>
          <w:trHeight w:val="283"/>
        </w:trPr>
        <w:tc>
          <w:tcPr>
            <w:tcW w:w="1140" w:type="dxa"/>
            <w:noWrap/>
            <w:vAlign w:val="bottom"/>
            <w:hideMark/>
          </w:tcPr>
          <w:p w14:paraId="52FC17B0"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RS00000021</w:t>
            </w:r>
          </w:p>
        </w:tc>
        <w:tc>
          <w:tcPr>
            <w:tcW w:w="3964" w:type="dxa"/>
            <w:vAlign w:val="bottom"/>
            <w:hideMark/>
          </w:tcPr>
          <w:p w14:paraId="2C259B39" w14:textId="39B6ABDE"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FERNVALE AFTER CARE CENTRE</w:t>
            </w:r>
          </w:p>
        </w:tc>
        <w:tc>
          <w:tcPr>
            <w:tcW w:w="992" w:type="dxa"/>
            <w:noWrap/>
            <w:vAlign w:val="center"/>
            <w:hideMark/>
          </w:tcPr>
          <w:p w14:paraId="39C09CD8"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30</w:t>
            </w:r>
          </w:p>
        </w:tc>
        <w:tc>
          <w:tcPr>
            <w:tcW w:w="1276" w:type="dxa"/>
          </w:tcPr>
          <w:p w14:paraId="542FC299" w14:textId="7A518DAB"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46F7F0B8"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3CBBCCF7" w14:textId="07E0B4F1" w:rsidTr="00F9630D">
        <w:trPr>
          <w:trHeight w:val="283"/>
        </w:trPr>
        <w:tc>
          <w:tcPr>
            <w:tcW w:w="1140" w:type="dxa"/>
            <w:noWrap/>
            <w:vAlign w:val="bottom"/>
            <w:hideMark/>
          </w:tcPr>
          <w:p w14:paraId="1ECC8CED"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RS00000027</w:t>
            </w:r>
          </w:p>
        </w:tc>
        <w:tc>
          <w:tcPr>
            <w:tcW w:w="3964" w:type="dxa"/>
            <w:vAlign w:val="bottom"/>
            <w:hideMark/>
          </w:tcPr>
          <w:p w14:paraId="28472FE6" w14:textId="15F6EAF6"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COORPAROO SUPPORTED LIFESTYLE</w:t>
            </w:r>
          </w:p>
        </w:tc>
        <w:tc>
          <w:tcPr>
            <w:tcW w:w="992" w:type="dxa"/>
            <w:noWrap/>
            <w:vAlign w:val="center"/>
            <w:hideMark/>
          </w:tcPr>
          <w:p w14:paraId="4E054F30"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24</w:t>
            </w:r>
          </w:p>
        </w:tc>
        <w:tc>
          <w:tcPr>
            <w:tcW w:w="1276" w:type="dxa"/>
          </w:tcPr>
          <w:p w14:paraId="1E7C9D12" w14:textId="25B4CE76"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528A48BB"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66AE1BFC" w14:textId="58792210" w:rsidTr="00F9630D">
        <w:trPr>
          <w:trHeight w:val="283"/>
        </w:trPr>
        <w:tc>
          <w:tcPr>
            <w:tcW w:w="1140" w:type="dxa"/>
            <w:noWrap/>
            <w:vAlign w:val="bottom"/>
            <w:hideMark/>
          </w:tcPr>
          <w:p w14:paraId="0BB2E21F"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RS00000036</w:t>
            </w:r>
          </w:p>
        </w:tc>
        <w:tc>
          <w:tcPr>
            <w:tcW w:w="3964" w:type="dxa"/>
            <w:vAlign w:val="bottom"/>
            <w:hideMark/>
          </w:tcPr>
          <w:p w14:paraId="68997030" w14:textId="3CA0AF9E"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MURRAY LODGE SUPPORTED ACCOMMODATION</w:t>
            </w:r>
          </w:p>
        </w:tc>
        <w:tc>
          <w:tcPr>
            <w:tcW w:w="992" w:type="dxa"/>
            <w:noWrap/>
            <w:vAlign w:val="center"/>
            <w:hideMark/>
          </w:tcPr>
          <w:p w14:paraId="6171D2BA"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49</w:t>
            </w:r>
          </w:p>
        </w:tc>
        <w:tc>
          <w:tcPr>
            <w:tcW w:w="1276" w:type="dxa"/>
          </w:tcPr>
          <w:p w14:paraId="6E18AF44" w14:textId="246149BA"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3A1CAC76" w14:textId="3AA33E48"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6F784773" w14:textId="053E56C3" w:rsidTr="00F9630D">
        <w:trPr>
          <w:trHeight w:val="283"/>
        </w:trPr>
        <w:tc>
          <w:tcPr>
            <w:tcW w:w="1140" w:type="dxa"/>
            <w:noWrap/>
            <w:vAlign w:val="bottom"/>
            <w:hideMark/>
          </w:tcPr>
          <w:p w14:paraId="40747A66"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RS00000038</w:t>
            </w:r>
          </w:p>
        </w:tc>
        <w:tc>
          <w:tcPr>
            <w:tcW w:w="3964" w:type="dxa"/>
            <w:vAlign w:val="bottom"/>
            <w:hideMark/>
          </w:tcPr>
          <w:p w14:paraId="4F886B74" w14:textId="7B7E087A"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GRACEMERE LADIES HOME</w:t>
            </w:r>
          </w:p>
        </w:tc>
        <w:tc>
          <w:tcPr>
            <w:tcW w:w="992" w:type="dxa"/>
            <w:noWrap/>
            <w:vAlign w:val="center"/>
            <w:hideMark/>
          </w:tcPr>
          <w:p w14:paraId="3F8F1729"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28</w:t>
            </w:r>
          </w:p>
        </w:tc>
        <w:tc>
          <w:tcPr>
            <w:tcW w:w="1276" w:type="dxa"/>
          </w:tcPr>
          <w:p w14:paraId="44B7C118" w14:textId="43563BA3"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43931AA8"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10D29035" w14:textId="1C91DCCE" w:rsidTr="00F9630D">
        <w:trPr>
          <w:trHeight w:val="510"/>
        </w:trPr>
        <w:tc>
          <w:tcPr>
            <w:tcW w:w="1140" w:type="dxa"/>
            <w:noWrap/>
            <w:vAlign w:val="bottom"/>
            <w:hideMark/>
          </w:tcPr>
          <w:p w14:paraId="1EDC5D2E"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RS00000058</w:t>
            </w:r>
          </w:p>
        </w:tc>
        <w:tc>
          <w:tcPr>
            <w:tcW w:w="3964" w:type="dxa"/>
            <w:vAlign w:val="bottom"/>
            <w:hideMark/>
          </w:tcPr>
          <w:p w14:paraId="06EF64DD" w14:textId="07ACB560"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BERGIN GARDENS &amp; GILBERT LODGE</w:t>
            </w:r>
            <w:r>
              <w:rPr>
                <w:rFonts w:ascii="Aptos Narrow" w:eastAsia="Times New Roman" w:hAnsi="Aptos Narrow" w:cs="Times New Roman"/>
                <w:color w:val="000000"/>
                <w:sz w:val="18"/>
                <w:szCs w:val="18"/>
                <w:lang w:eastAsia="en-AU"/>
              </w:rPr>
              <w:t xml:space="preserve">; </w:t>
            </w:r>
            <w:r w:rsidRPr="000A0D96">
              <w:rPr>
                <w:rFonts w:ascii="Aptos Narrow" w:eastAsia="Times New Roman" w:hAnsi="Aptos Narrow" w:cs="Times New Roman"/>
                <w:color w:val="000000"/>
                <w:sz w:val="18"/>
                <w:szCs w:val="18"/>
                <w:lang w:eastAsia="en-AU"/>
              </w:rPr>
              <w:t xml:space="preserve">9A </w:t>
            </w:r>
            <w:r>
              <w:rPr>
                <w:rFonts w:ascii="Aptos Narrow" w:eastAsia="Times New Roman" w:hAnsi="Aptos Narrow" w:cs="Times New Roman"/>
                <w:color w:val="000000"/>
                <w:sz w:val="18"/>
                <w:szCs w:val="18"/>
                <w:lang w:eastAsia="en-AU"/>
              </w:rPr>
              <w:t xml:space="preserve">&amp; 9B </w:t>
            </w:r>
            <w:r w:rsidRPr="000A0D96">
              <w:rPr>
                <w:rFonts w:ascii="Aptos Narrow" w:eastAsia="Times New Roman" w:hAnsi="Aptos Narrow" w:cs="Times New Roman"/>
                <w:color w:val="000000"/>
                <w:sz w:val="18"/>
                <w:szCs w:val="18"/>
                <w:lang w:eastAsia="en-AU"/>
              </w:rPr>
              <w:t xml:space="preserve">SALISBURY RD, IPSWICH </w:t>
            </w:r>
          </w:p>
        </w:tc>
        <w:tc>
          <w:tcPr>
            <w:tcW w:w="992" w:type="dxa"/>
            <w:noWrap/>
            <w:vAlign w:val="center"/>
            <w:hideMark/>
          </w:tcPr>
          <w:p w14:paraId="28FD19C6"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23</w:t>
            </w:r>
          </w:p>
        </w:tc>
        <w:tc>
          <w:tcPr>
            <w:tcW w:w="1276" w:type="dxa"/>
          </w:tcPr>
          <w:p w14:paraId="20F7E2AB" w14:textId="5E3AB89A"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22D09DB5"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25134D81" w14:textId="28C57820" w:rsidTr="00F9630D">
        <w:trPr>
          <w:trHeight w:val="283"/>
        </w:trPr>
        <w:tc>
          <w:tcPr>
            <w:tcW w:w="1140" w:type="dxa"/>
            <w:noWrap/>
            <w:vAlign w:val="bottom"/>
            <w:hideMark/>
          </w:tcPr>
          <w:p w14:paraId="78F2FB78"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RS00000059</w:t>
            </w:r>
          </w:p>
        </w:tc>
        <w:tc>
          <w:tcPr>
            <w:tcW w:w="3964" w:type="dxa"/>
            <w:vAlign w:val="bottom"/>
            <w:hideMark/>
          </w:tcPr>
          <w:p w14:paraId="1CA62FF8" w14:textId="064C913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CHRISTINE COURT</w:t>
            </w:r>
          </w:p>
        </w:tc>
        <w:tc>
          <w:tcPr>
            <w:tcW w:w="992" w:type="dxa"/>
            <w:noWrap/>
            <w:vAlign w:val="center"/>
            <w:hideMark/>
          </w:tcPr>
          <w:p w14:paraId="2E8AFCDC"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45</w:t>
            </w:r>
          </w:p>
        </w:tc>
        <w:tc>
          <w:tcPr>
            <w:tcW w:w="1276" w:type="dxa"/>
          </w:tcPr>
          <w:p w14:paraId="29B0C083" w14:textId="0DC8C45D"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3A9E1D9F" w14:textId="3112C485"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7366C0D2" w14:textId="5EAD40BF" w:rsidTr="00F9630D">
        <w:trPr>
          <w:trHeight w:val="283"/>
        </w:trPr>
        <w:tc>
          <w:tcPr>
            <w:tcW w:w="1140" w:type="dxa"/>
            <w:noWrap/>
            <w:vAlign w:val="bottom"/>
            <w:hideMark/>
          </w:tcPr>
          <w:p w14:paraId="70910F93"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RS00000063</w:t>
            </w:r>
          </w:p>
        </w:tc>
        <w:tc>
          <w:tcPr>
            <w:tcW w:w="3964" w:type="dxa"/>
            <w:vAlign w:val="bottom"/>
            <w:hideMark/>
          </w:tcPr>
          <w:p w14:paraId="080F5FB6" w14:textId="5301A469"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141 GEDDES ST, EAST TOOWOOMBA</w:t>
            </w:r>
          </w:p>
        </w:tc>
        <w:tc>
          <w:tcPr>
            <w:tcW w:w="992" w:type="dxa"/>
            <w:noWrap/>
            <w:vAlign w:val="center"/>
            <w:hideMark/>
          </w:tcPr>
          <w:p w14:paraId="50D76C68"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11</w:t>
            </w:r>
          </w:p>
        </w:tc>
        <w:tc>
          <w:tcPr>
            <w:tcW w:w="1276" w:type="dxa"/>
          </w:tcPr>
          <w:p w14:paraId="0A95D179" w14:textId="6A21E425"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3799D207"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13A7E3D3" w14:textId="2B5CDCDA" w:rsidTr="00F9630D">
        <w:trPr>
          <w:trHeight w:val="283"/>
        </w:trPr>
        <w:tc>
          <w:tcPr>
            <w:tcW w:w="1140" w:type="dxa"/>
            <w:noWrap/>
            <w:vAlign w:val="bottom"/>
            <w:hideMark/>
          </w:tcPr>
          <w:p w14:paraId="48003FD6"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RS00000072</w:t>
            </w:r>
          </w:p>
        </w:tc>
        <w:tc>
          <w:tcPr>
            <w:tcW w:w="3964" w:type="dxa"/>
            <w:vAlign w:val="bottom"/>
            <w:hideMark/>
          </w:tcPr>
          <w:p w14:paraId="4C9DBED9" w14:textId="7B508C18"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10 MORRIS ST, WEST END</w:t>
            </w:r>
          </w:p>
        </w:tc>
        <w:tc>
          <w:tcPr>
            <w:tcW w:w="992" w:type="dxa"/>
            <w:noWrap/>
            <w:vAlign w:val="center"/>
            <w:hideMark/>
          </w:tcPr>
          <w:p w14:paraId="5AAF56F5"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21</w:t>
            </w:r>
          </w:p>
        </w:tc>
        <w:tc>
          <w:tcPr>
            <w:tcW w:w="1276" w:type="dxa"/>
          </w:tcPr>
          <w:p w14:paraId="043276D0" w14:textId="313A60C5"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24915430"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7778A45B" w14:textId="4DF9DAB6" w:rsidTr="00F9630D">
        <w:trPr>
          <w:trHeight w:val="283"/>
        </w:trPr>
        <w:tc>
          <w:tcPr>
            <w:tcW w:w="1140" w:type="dxa"/>
            <w:noWrap/>
            <w:vAlign w:val="bottom"/>
            <w:hideMark/>
          </w:tcPr>
          <w:p w14:paraId="2ADBE1EE"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RS00000073</w:t>
            </w:r>
          </w:p>
        </w:tc>
        <w:tc>
          <w:tcPr>
            <w:tcW w:w="3964" w:type="dxa"/>
            <w:vAlign w:val="bottom"/>
            <w:hideMark/>
          </w:tcPr>
          <w:p w14:paraId="50773DDA" w14:textId="56C1667E"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HERSTON LODGE</w:t>
            </w:r>
          </w:p>
        </w:tc>
        <w:tc>
          <w:tcPr>
            <w:tcW w:w="992" w:type="dxa"/>
            <w:noWrap/>
            <w:vAlign w:val="center"/>
            <w:hideMark/>
          </w:tcPr>
          <w:p w14:paraId="098CBE99"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75</w:t>
            </w:r>
          </w:p>
        </w:tc>
        <w:tc>
          <w:tcPr>
            <w:tcW w:w="1276" w:type="dxa"/>
          </w:tcPr>
          <w:p w14:paraId="1506EF0C" w14:textId="279F2CAD"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054850FC" w14:textId="350E3A44"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+ 2xSW (Day)</w:t>
            </w:r>
          </w:p>
        </w:tc>
      </w:tr>
      <w:tr w:rsidR="00F9630D" w:rsidRPr="000A0D96" w14:paraId="745A4570" w14:textId="4EAD2AC0" w:rsidTr="00F9630D">
        <w:trPr>
          <w:trHeight w:val="283"/>
        </w:trPr>
        <w:tc>
          <w:tcPr>
            <w:tcW w:w="1140" w:type="dxa"/>
            <w:noWrap/>
            <w:vAlign w:val="bottom"/>
            <w:hideMark/>
          </w:tcPr>
          <w:p w14:paraId="6A4640C6"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RS00000104</w:t>
            </w:r>
          </w:p>
        </w:tc>
        <w:tc>
          <w:tcPr>
            <w:tcW w:w="3964" w:type="dxa"/>
            <w:vAlign w:val="bottom"/>
            <w:hideMark/>
          </w:tcPr>
          <w:p w14:paraId="242FE6BD" w14:textId="62850D26"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 xml:space="preserve">43 </w:t>
            </w:r>
            <w:r>
              <w:rPr>
                <w:rFonts w:ascii="Aptos Narrow" w:eastAsia="Times New Roman" w:hAnsi="Aptos Narrow" w:cs="Times New Roman"/>
                <w:color w:val="000000"/>
                <w:sz w:val="18"/>
                <w:szCs w:val="18"/>
                <w:lang w:eastAsia="en-AU"/>
              </w:rPr>
              <w:t xml:space="preserve">&amp; 45 </w:t>
            </w:r>
            <w:r w:rsidRPr="000A0D96">
              <w:rPr>
                <w:rFonts w:ascii="Aptos Narrow" w:eastAsia="Times New Roman" w:hAnsi="Aptos Narrow" w:cs="Times New Roman"/>
                <w:color w:val="000000"/>
                <w:sz w:val="18"/>
                <w:szCs w:val="18"/>
                <w:lang w:eastAsia="en-AU"/>
              </w:rPr>
              <w:t>MERLOO DR, NERANG</w:t>
            </w:r>
          </w:p>
        </w:tc>
        <w:tc>
          <w:tcPr>
            <w:tcW w:w="992" w:type="dxa"/>
            <w:noWrap/>
            <w:vAlign w:val="center"/>
            <w:hideMark/>
          </w:tcPr>
          <w:p w14:paraId="5CB3AF55"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19</w:t>
            </w:r>
          </w:p>
        </w:tc>
        <w:tc>
          <w:tcPr>
            <w:tcW w:w="1276" w:type="dxa"/>
          </w:tcPr>
          <w:p w14:paraId="5E2C904E" w14:textId="2081AAC9"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644DDAEB"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4C30AC72" w14:textId="01DDB982" w:rsidTr="00F9630D">
        <w:trPr>
          <w:trHeight w:val="283"/>
        </w:trPr>
        <w:tc>
          <w:tcPr>
            <w:tcW w:w="1140" w:type="dxa"/>
            <w:noWrap/>
            <w:vAlign w:val="bottom"/>
            <w:hideMark/>
          </w:tcPr>
          <w:p w14:paraId="4626D9AA"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RS00000155</w:t>
            </w:r>
          </w:p>
        </w:tc>
        <w:tc>
          <w:tcPr>
            <w:tcW w:w="3964" w:type="dxa"/>
            <w:vAlign w:val="bottom"/>
            <w:hideMark/>
          </w:tcPr>
          <w:p w14:paraId="5B7931E3" w14:textId="4ABCA469"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AUSCARE HOUSE</w:t>
            </w:r>
          </w:p>
        </w:tc>
        <w:tc>
          <w:tcPr>
            <w:tcW w:w="992" w:type="dxa"/>
            <w:noWrap/>
            <w:vAlign w:val="center"/>
            <w:hideMark/>
          </w:tcPr>
          <w:p w14:paraId="537BB737"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35</w:t>
            </w:r>
          </w:p>
        </w:tc>
        <w:tc>
          <w:tcPr>
            <w:tcW w:w="1276" w:type="dxa"/>
          </w:tcPr>
          <w:p w14:paraId="5109C55B" w14:textId="2981B4DE"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32225C23"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2D2E796B" w14:textId="368A358D" w:rsidTr="00F9630D">
        <w:trPr>
          <w:trHeight w:val="283"/>
        </w:trPr>
        <w:tc>
          <w:tcPr>
            <w:tcW w:w="1140" w:type="dxa"/>
            <w:noWrap/>
            <w:vAlign w:val="bottom"/>
            <w:hideMark/>
          </w:tcPr>
          <w:p w14:paraId="025467BC"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RS00000206</w:t>
            </w:r>
          </w:p>
        </w:tc>
        <w:tc>
          <w:tcPr>
            <w:tcW w:w="3964" w:type="dxa"/>
            <w:vAlign w:val="bottom"/>
            <w:hideMark/>
          </w:tcPr>
          <w:p w14:paraId="7B1C545C" w14:textId="08A36F1E"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MONTRAY VILLA HOSTEL</w:t>
            </w:r>
          </w:p>
        </w:tc>
        <w:tc>
          <w:tcPr>
            <w:tcW w:w="992" w:type="dxa"/>
            <w:noWrap/>
            <w:vAlign w:val="center"/>
            <w:hideMark/>
          </w:tcPr>
          <w:p w14:paraId="08DD4F0E"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52</w:t>
            </w:r>
          </w:p>
        </w:tc>
        <w:tc>
          <w:tcPr>
            <w:tcW w:w="1276" w:type="dxa"/>
          </w:tcPr>
          <w:p w14:paraId="602E4637" w14:textId="700465F0"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6F353DB5" w14:textId="7DDE1A9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531B46DF" w14:textId="22E2CC60" w:rsidTr="00F9630D">
        <w:trPr>
          <w:trHeight w:val="283"/>
        </w:trPr>
        <w:tc>
          <w:tcPr>
            <w:tcW w:w="1140" w:type="dxa"/>
            <w:noWrap/>
            <w:vAlign w:val="bottom"/>
            <w:hideMark/>
          </w:tcPr>
          <w:p w14:paraId="6AF4D396"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RS00000208</w:t>
            </w:r>
          </w:p>
        </w:tc>
        <w:tc>
          <w:tcPr>
            <w:tcW w:w="3964" w:type="dxa"/>
            <w:vAlign w:val="bottom"/>
            <w:hideMark/>
          </w:tcPr>
          <w:p w14:paraId="4D6619E7" w14:textId="00EA8C59"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LILLIPUT CARING</w:t>
            </w:r>
          </w:p>
        </w:tc>
        <w:tc>
          <w:tcPr>
            <w:tcW w:w="992" w:type="dxa"/>
            <w:noWrap/>
            <w:vAlign w:val="center"/>
            <w:hideMark/>
          </w:tcPr>
          <w:p w14:paraId="60FC88DC"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60</w:t>
            </w:r>
          </w:p>
        </w:tc>
        <w:tc>
          <w:tcPr>
            <w:tcW w:w="1276" w:type="dxa"/>
          </w:tcPr>
          <w:p w14:paraId="0D0F4534" w14:textId="73C7985A"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71C749E0" w14:textId="1D919958"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579F258C" w14:textId="722FE706" w:rsidTr="00F9630D">
        <w:trPr>
          <w:trHeight w:val="283"/>
        </w:trPr>
        <w:tc>
          <w:tcPr>
            <w:tcW w:w="1140" w:type="dxa"/>
            <w:noWrap/>
            <w:vAlign w:val="bottom"/>
            <w:hideMark/>
          </w:tcPr>
          <w:p w14:paraId="587AC8E1"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RS00000210</w:t>
            </w:r>
          </w:p>
        </w:tc>
        <w:tc>
          <w:tcPr>
            <w:tcW w:w="3964" w:type="dxa"/>
            <w:vAlign w:val="bottom"/>
            <w:hideMark/>
          </w:tcPr>
          <w:p w14:paraId="797940D8" w14:textId="491DCC02"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ELIZABETH JANE GARDENS</w:t>
            </w:r>
          </w:p>
        </w:tc>
        <w:tc>
          <w:tcPr>
            <w:tcW w:w="992" w:type="dxa"/>
            <w:noWrap/>
            <w:vAlign w:val="center"/>
            <w:hideMark/>
          </w:tcPr>
          <w:p w14:paraId="3BB987E5"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17</w:t>
            </w:r>
          </w:p>
        </w:tc>
        <w:tc>
          <w:tcPr>
            <w:tcW w:w="1276" w:type="dxa"/>
          </w:tcPr>
          <w:p w14:paraId="650F1816" w14:textId="4B2CB1C0"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32BECA0A"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4EF1D1F5" w14:textId="3E519889" w:rsidTr="00F9630D">
        <w:trPr>
          <w:trHeight w:val="283"/>
        </w:trPr>
        <w:tc>
          <w:tcPr>
            <w:tcW w:w="1140" w:type="dxa"/>
            <w:noWrap/>
            <w:vAlign w:val="bottom"/>
            <w:hideMark/>
          </w:tcPr>
          <w:p w14:paraId="70FD5AFE"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RS00000235</w:t>
            </w:r>
          </w:p>
        </w:tc>
        <w:tc>
          <w:tcPr>
            <w:tcW w:w="3964" w:type="dxa"/>
            <w:vAlign w:val="bottom"/>
            <w:hideMark/>
          </w:tcPr>
          <w:p w14:paraId="4298B88C" w14:textId="488E12A4"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157-159 OLD LOGAN VILLAGE RD, WATERFORD</w:t>
            </w:r>
          </w:p>
        </w:tc>
        <w:tc>
          <w:tcPr>
            <w:tcW w:w="992" w:type="dxa"/>
            <w:noWrap/>
            <w:vAlign w:val="center"/>
            <w:hideMark/>
          </w:tcPr>
          <w:p w14:paraId="77ECB53D"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24</w:t>
            </w:r>
          </w:p>
        </w:tc>
        <w:tc>
          <w:tcPr>
            <w:tcW w:w="1276" w:type="dxa"/>
          </w:tcPr>
          <w:p w14:paraId="22F2913A" w14:textId="0CABF2BD"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5B558BD2"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080AFE47" w14:textId="0B95766B" w:rsidTr="00F9630D">
        <w:trPr>
          <w:trHeight w:val="283"/>
        </w:trPr>
        <w:tc>
          <w:tcPr>
            <w:tcW w:w="1140" w:type="dxa"/>
            <w:noWrap/>
            <w:vAlign w:val="bottom"/>
            <w:hideMark/>
          </w:tcPr>
          <w:p w14:paraId="5A7DE755"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RS00000295</w:t>
            </w:r>
          </w:p>
        </w:tc>
        <w:tc>
          <w:tcPr>
            <w:tcW w:w="3964" w:type="dxa"/>
            <w:vAlign w:val="bottom"/>
            <w:hideMark/>
          </w:tcPr>
          <w:p w14:paraId="2B209653" w14:textId="505A62CA"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ROBINA LODGE</w:t>
            </w:r>
          </w:p>
        </w:tc>
        <w:tc>
          <w:tcPr>
            <w:tcW w:w="992" w:type="dxa"/>
            <w:noWrap/>
            <w:vAlign w:val="center"/>
            <w:hideMark/>
          </w:tcPr>
          <w:p w14:paraId="1C33BDF4"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42</w:t>
            </w:r>
          </w:p>
        </w:tc>
        <w:tc>
          <w:tcPr>
            <w:tcW w:w="1276" w:type="dxa"/>
          </w:tcPr>
          <w:p w14:paraId="536FDB1D" w14:textId="3B8BE3EC"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7FEC8F07" w14:textId="75B49092"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07479DB2" w14:textId="1FBC5898" w:rsidTr="00F9630D">
        <w:trPr>
          <w:trHeight w:val="283"/>
        </w:trPr>
        <w:tc>
          <w:tcPr>
            <w:tcW w:w="1140" w:type="dxa"/>
            <w:noWrap/>
            <w:vAlign w:val="bottom"/>
            <w:hideMark/>
          </w:tcPr>
          <w:p w14:paraId="28C9ABF5"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RS00000315</w:t>
            </w:r>
          </w:p>
        </w:tc>
        <w:tc>
          <w:tcPr>
            <w:tcW w:w="3964" w:type="dxa"/>
            <w:vAlign w:val="bottom"/>
            <w:hideMark/>
          </w:tcPr>
          <w:p w14:paraId="5BD69864" w14:textId="368CC908"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COCKATOO LODGE</w:t>
            </w:r>
          </w:p>
        </w:tc>
        <w:tc>
          <w:tcPr>
            <w:tcW w:w="992" w:type="dxa"/>
            <w:noWrap/>
            <w:vAlign w:val="center"/>
            <w:hideMark/>
          </w:tcPr>
          <w:p w14:paraId="52A10B9E"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22</w:t>
            </w:r>
          </w:p>
        </w:tc>
        <w:tc>
          <w:tcPr>
            <w:tcW w:w="1276" w:type="dxa"/>
          </w:tcPr>
          <w:p w14:paraId="384AF0BF" w14:textId="00B3B579"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179F8188"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005BEA33" w14:textId="4BA19139" w:rsidTr="00F9630D">
        <w:trPr>
          <w:trHeight w:val="283"/>
        </w:trPr>
        <w:tc>
          <w:tcPr>
            <w:tcW w:w="1140" w:type="dxa"/>
            <w:noWrap/>
            <w:vAlign w:val="bottom"/>
            <w:hideMark/>
          </w:tcPr>
          <w:p w14:paraId="7A6DCA30"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RS00000329</w:t>
            </w:r>
          </w:p>
        </w:tc>
        <w:tc>
          <w:tcPr>
            <w:tcW w:w="3964" w:type="dxa"/>
            <w:vAlign w:val="bottom"/>
            <w:hideMark/>
          </w:tcPr>
          <w:p w14:paraId="60F28FBE" w14:textId="5209161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GREENSLOPES HOUSE</w:t>
            </w:r>
          </w:p>
        </w:tc>
        <w:tc>
          <w:tcPr>
            <w:tcW w:w="992" w:type="dxa"/>
            <w:noWrap/>
            <w:vAlign w:val="center"/>
            <w:hideMark/>
          </w:tcPr>
          <w:p w14:paraId="5481530D"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75</w:t>
            </w:r>
          </w:p>
        </w:tc>
        <w:tc>
          <w:tcPr>
            <w:tcW w:w="1276" w:type="dxa"/>
          </w:tcPr>
          <w:p w14:paraId="7AEFCA44" w14:textId="0945832E"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104D233B" w14:textId="20CAAFAB"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+ 2xSW (Day)</w:t>
            </w:r>
          </w:p>
        </w:tc>
      </w:tr>
      <w:tr w:rsidR="00F9630D" w:rsidRPr="000A0D96" w14:paraId="336FB085" w14:textId="6E21E343" w:rsidTr="00F9630D">
        <w:trPr>
          <w:trHeight w:val="283"/>
        </w:trPr>
        <w:tc>
          <w:tcPr>
            <w:tcW w:w="1140" w:type="dxa"/>
            <w:noWrap/>
            <w:vAlign w:val="bottom"/>
            <w:hideMark/>
          </w:tcPr>
          <w:p w14:paraId="4C235977"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RS00013365</w:t>
            </w:r>
          </w:p>
        </w:tc>
        <w:tc>
          <w:tcPr>
            <w:tcW w:w="3964" w:type="dxa"/>
            <w:vAlign w:val="bottom"/>
            <w:hideMark/>
          </w:tcPr>
          <w:p w14:paraId="032C14DC" w14:textId="41A1568F"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AVALON LODGE</w:t>
            </w:r>
          </w:p>
        </w:tc>
        <w:tc>
          <w:tcPr>
            <w:tcW w:w="992" w:type="dxa"/>
            <w:noWrap/>
            <w:vAlign w:val="center"/>
            <w:hideMark/>
          </w:tcPr>
          <w:p w14:paraId="4D28DB3E"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136</w:t>
            </w:r>
          </w:p>
        </w:tc>
        <w:tc>
          <w:tcPr>
            <w:tcW w:w="1276" w:type="dxa"/>
          </w:tcPr>
          <w:p w14:paraId="04C94254" w14:textId="4AC6333C"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251860F3" w14:textId="7B7C0DFB"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+ 2xSW (Day)</w:t>
            </w:r>
          </w:p>
        </w:tc>
      </w:tr>
      <w:tr w:rsidR="00F9630D" w:rsidRPr="000A0D96" w14:paraId="5A745EED" w14:textId="63C1131C" w:rsidTr="00F9630D">
        <w:trPr>
          <w:trHeight w:val="283"/>
        </w:trPr>
        <w:tc>
          <w:tcPr>
            <w:tcW w:w="1140" w:type="dxa"/>
            <w:noWrap/>
            <w:vAlign w:val="bottom"/>
            <w:hideMark/>
          </w:tcPr>
          <w:p w14:paraId="5ED3A45F"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RS00013532</w:t>
            </w:r>
          </w:p>
        </w:tc>
        <w:tc>
          <w:tcPr>
            <w:tcW w:w="3964" w:type="dxa"/>
            <w:vAlign w:val="bottom"/>
            <w:hideMark/>
          </w:tcPr>
          <w:p w14:paraId="7855CA58" w14:textId="4A7CE51D"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xml:space="preserve">ALORA RETREAT </w:t>
            </w:r>
            <w:r w:rsidRPr="000A0D96">
              <w:rPr>
                <w:rFonts w:ascii="Aptos Narrow" w:eastAsia="Times New Roman" w:hAnsi="Aptos Narrow" w:cs="Times New Roman"/>
                <w:color w:val="000000"/>
                <w:sz w:val="18"/>
                <w:szCs w:val="18"/>
                <w:lang w:eastAsia="en-AU"/>
              </w:rPr>
              <w:t>MORNINGSIDE</w:t>
            </w:r>
          </w:p>
        </w:tc>
        <w:tc>
          <w:tcPr>
            <w:tcW w:w="992" w:type="dxa"/>
            <w:noWrap/>
            <w:vAlign w:val="center"/>
            <w:hideMark/>
          </w:tcPr>
          <w:p w14:paraId="0E407926"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25</w:t>
            </w:r>
          </w:p>
        </w:tc>
        <w:tc>
          <w:tcPr>
            <w:tcW w:w="1276" w:type="dxa"/>
          </w:tcPr>
          <w:p w14:paraId="2F6AB782" w14:textId="30A85AA1"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010708AB"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1199245C" w14:textId="71C9E8C1" w:rsidTr="00F9630D">
        <w:trPr>
          <w:trHeight w:val="283"/>
        </w:trPr>
        <w:tc>
          <w:tcPr>
            <w:tcW w:w="1140" w:type="dxa"/>
            <w:noWrap/>
            <w:vAlign w:val="bottom"/>
            <w:hideMark/>
          </w:tcPr>
          <w:p w14:paraId="3D6A85CF" w14:textId="77777777"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RS00013554</w:t>
            </w:r>
          </w:p>
        </w:tc>
        <w:tc>
          <w:tcPr>
            <w:tcW w:w="3964" w:type="dxa"/>
            <w:vAlign w:val="bottom"/>
            <w:hideMark/>
          </w:tcPr>
          <w:p w14:paraId="3A9C3CA0" w14:textId="3FB07009" w:rsidR="00F9630D" w:rsidRPr="000A0D96" w:rsidRDefault="00F9630D" w:rsidP="00B34BD0">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CALOUNDRA HOUSE</w:t>
            </w:r>
          </w:p>
        </w:tc>
        <w:tc>
          <w:tcPr>
            <w:tcW w:w="992" w:type="dxa"/>
            <w:noWrap/>
            <w:vAlign w:val="center"/>
            <w:hideMark/>
          </w:tcPr>
          <w:p w14:paraId="16CEAB95" w14:textId="77777777"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53</w:t>
            </w:r>
          </w:p>
        </w:tc>
        <w:tc>
          <w:tcPr>
            <w:tcW w:w="1276" w:type="dxa"/>
          </w:tcPr>
          <w:p w14:paraId="152B3519" w14:textId="45A99BC5"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69F318ED" w14:textId="72FA1A5B" w:rsidR="00F9630D" w:rsidRPr="000A0D96" w:rsidRDefault="00F9630D" w:rsidP="00B34BD0">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3F3E12DC" w14:textId="153E3C05" w:rsidTr="00F9630D">
        <w:trPr>
          <w:trHeight w:val="283"/>
        </w:trPr>
        <w:tc>
          <w:tcPr>
            <w:tcW w:w="1140" w:type="dxa"/>
            <w:noWrap/>
            <w:vAlign w:val="bottom"/>
            <w:hideMark/>
          </w:tcPr>
          <w:p w14:paraId="75E3EADC" w14:textId="77777777" w:rsidR="00F9630D" w:rsidRPr="000A0D96" w:rsidRDefault="00F9630D" w:rsidP="00F77812">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RS00000225</w:t>
            </w:r>
          </w:p>
        </w:tc>
        <w:tc>
          <w:tcPr>
            <w:tcW w:w="3964" w:type="dxa"/>
            <w:shd w:val="clear" w:color="000000" w:fill="D0D0D0"/>
            <w:vAlign w:val="bottom"/>
            <w:hideMark/>
          </w:tcPr>
          <w:p w14:paraId="43B5E226" w14:textId="63A5F1D9" w:rsidR="00F9630D" w:rsidRPr="000A0D96" w:rsidRDefault="00F9630D" w:rsidP="00F77812">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9 LORIMER ST, SPRINGWOOD,</w:t>
            </w:r>
          </w:p>
        </w:tc>
        <w:tc>
          <w:tcPr>
            <w:tcW w:w="992" w:type="dxa"/>
            <w:noWrap/>
            <w:vAlign w:val="center"/>
            <w:hideMark/>
          </w:tcPr>
          <w:p w14:paraId="33B198C2" w14:textId="7777777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12</w:t>
            </w:r>
          </w:p>
        </w:tc>
        <w:tc>
          <w:tcPr>
            <w:tcW w:w="1276" w:type="dxa"/>
            <w:vMerge w:val="restart"/>
            <w:vAlign w:val="center"/>
          </w:tcPr>
          <w:p w14:paraId="1303C4D8" w14:textId="1FF2D95B"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Align w:val="center"/>
          </w:tcPr>
          <w:p w14:paraId="0F914690" w14:textId="7777777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04E886DB" w14:textId="0C3173BD" w:rsidTr="00F9630D">
        <w:trPr>
          <w:trHeight w:val="283"/>
        </w:trPr>
        <w:tc>
          <w:tcPr>
            <w:tcW w:w="1140" w:type="dxa"/>
            <w:noWrap/>
            <w:vAlign w:val="bottom"/>
            <w:hideMark/>
          </w:tcPr>
          <w:p w14:paraId="4B66473B" w14:textId="77777777" w:rsidR="00F9630D" w:rsidRPr="000A0D96" w:rsidRDefault="00F9630D" w:rsidP="00F77812">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RS00014190</w:t>
            </w:r>
          </w:p>
        </w:tc>
        <w:tc>
          <w:tcPr>
            <w:tcW w:w="3964" w:type="dxa"/>
            <w:shd w:val="clear" w:color="000000" w:fill="D0D0D0"/>
            <w:vAlign w:val="bottom"/>
            <w:hideMark/>
          </w:tcPr>
          <w:p w14:paraId="2DC77CF3" w14:textId="00AE34E3" w:rsidR="00F9630D" w:rsidRPr="000A0D96" w:rsidRDefault="00F9630D" w:rsidP="00F77812">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10 LORIMER ST, SPRINGWOOD,</w:t>
            </w:r>
          </w:p>
        </w:tc>
        <w:tc>
          <w:tcPr>
            <w:tcW w:w="992" w:type="dxa"/>
            <w:noWrap/>
            <w:vAlign w:val="center"/>
            <w:hideMark/>
          </w:tcPr>
          <w:p w14:paraId="591139F0" w14:textId="7777777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12</w:t>
            </w:r>
          </w:p>
        </w:tc>
        <w:tc>
          <w:tcPr>
            <w:tcW w:w="1276" w:type="dxa"/>
            <w:vMerge/>
            <w:vAlign w:val="center"/>
          </w:tcPr>
          <w:p w14:paraId="01A37CD1" w14:textId="519BBFD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c>
          <w:tcPr>
            <w:tcW w:w="1411" w:type="dxa"/>
            <w:vAlign w:val="center"/>
          </w:tcPr>
          <w:p w14:paraId="6031C2B8" w14:textId="7777777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02C6090A" w14:textId="0CD30941" w:rsidTr="00F9630D">
        <w:trPr>
          <w:trHeight w:val="283"/>
        </w:trPr>
        <w:tc>
          <w:tcPr>
            <w:tcW w:w="1140" w:type="dxa"/>
            <w:noWrap/>
            <w:vAlign w:val="bottom"/>
          </w:tcPr>
          <w:p w14:paraId="1A42A922" w14:textId="212EDFA1" w:rsidR="00F9630D" w:rsidRPr="000A0D96" w:rsidRDefault="00F9630D" w:rsidP="00A44588">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RS00000325</w:t>
            </w:r>
          </w:p>
        </w:tc>
        <w:tc>
          <w:tcPr>
            <w:tcW w:w="3964" w:type="dxa"/>
            <w:shd w:val="clear" w:color="000000" w:fill="F2CEEF"/>
            <w:vAlign w:val="bottom"/>
          </w:tcPr>
          <w:p w14:paraId="0A5F3BFF" w14:textId="1E45F9F5" w:rsidR="00F9630D" w:rsidRPr="000A0D96" w:rsidRDefault="00F9630D" w:rsidP="00A44588">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360 RICHMOND RD, CANNON HILL</w:t>
            </w:r>
          </w:p>
        </w:tc>
        <w:tc>
          <w:tcPr>
            <w:tcW w:w="992" w:type="dxa"/>
            <w:noWrap/>
            <w:vAlign w:val="center"/>
          </w:tcPr>
          <w:p w14:paraId="028D536C" w14:textId="7D92F701"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6</w:t>
            </w:r>
          </w:p>
        </w:tc>
        <w:tc>
          <w:tcPr>
            <w:tcW w:w="1276" w:type="dxa"/>
            <w:vMerge w:val="restart"/>
            <w:vAlign w:val="center"/>
          </w:tcPr>
          <w:p w14:paraId="505F59C1" w14:textId="42893C9E"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AA1C7B">
              <w:rPr>
                <w:rFonts w:ascii="Aptos Narrow" w:eastAsia="Times New Roman" w:hAnsi="Aptos Narrow" w:cs="Times New Roman"/>
                <w:color w:val="000000"/>
                <w:sz w:val="18"/>
                <w:szCs w:val="18"/>
                <w:lang w:eastAsia="en-AU"/>
              </w:rPr>
              <w:t>1 x CM, 2 x SW</w:t>
            </w:r>
          </w:p>
        </w:tc>
        <w:tc>
          <w:tcPr>
            <w:tcW w:w="1411" w:type="dxa"/>
            <w:vMerge w:val="restart"/>
            <w:vAlign w:val="center"/>
          </w:tcPr>
          <w:p w14:paraId="1716ACCD" w14:textId="2B1B1572"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Pr>
                <w:rFonts w:ascii="Aptos Narrow" w:eastAsia="Times New Roman" w:hAnsi="Aptos Narrow" w:cs="Times New Roman"/>
                <w:color w:val="000000"/>
                <w:sz w:val="18"/>
                <w:szCs w:val="18"/>
                <w:lang w:eastAsia="en-AU"/>
              </w:rPr>
              <w:t>+ 1xSW (Day)</w:t>
            </w:r>
          </w:p>
        </w:tc>
      </w:tr>
      <w:tr w:rsidR="00F9630D" w:rsidRPr="000A0D96" w14:paraId="1182C3FF" w14:textId="17DEE8E9" w:rsidTr="00F9630D">
        <w:trPr>
          <w:trHeight w:val="283"/>
        </w:trPr>
        <w:tc>
          <w:tcPr>
            <w:tcW w:w="1140" w:type="dxa"/>
            <w:noWrap/>
            <w:vAlign w:val="bottom"/>
            <w:hideMark/>
          </w:tcPr>
          <w:p w14:paraId="61795B5A" w14:textId="4346B51E"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RS00000330</w:t>
            </w:r>
          </w:p>
        </w:tc>
        <w:tc>
          <w:tcPr>
            <w:tcW w:w="3964" w:type="dxa"/>
            <w:shd w:val="clear" w:color="000000" w:fill="F2CEEF"/>
            <w:vAlign w:val="bottom"/>
            <w:hideMark/>
          </w:tcPr>
          <w:p w14:paraId="07B2738D" w14:textId="134F68FC"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 xml:space="preserve">356 </w:t>
            </w:r>
            <w:r>
              <w:rPr>
                <w:rFonts w:ascii="Aptos Narrow" w:eastAsia="Times New Roman" w:hAnsi="Aptos Narrow" w:cs="Times New Roman"/>
                <w:color w:val="000000"/>
                <w:sz w:val="18"/>
                <w:szCs w:val="18"/>
                <w:lang w:eastAsia="en-AU"/>
              </w:rPr>
              <w:t xml:space="preserve">&amp; 358 </w:t>
            </w:r>
            <w:r w:rsidRPr="000A0D96">
              <w:rPr>
                <w:rFonts w:ascii="Aptos Narrow" w:eastAsia="Times New Roman" w:hAnsi="Aptos Narrow" w:cs="Times New Roman"/>
                <w:color w:val="000000"/>
                <w:sz w:val="18"/>
                <w:szCs w:val="18"/>
                <w:lang w:eastAsia="en-AU"/>
              </w:rPr>
              <w:t>RICHMOND RD, CANNON HILL</w:t>
            </w:r>
          </w:p>
        </w:tc>
        <w:tc>
          <w:tcPr>
            <w:tcW w:w="992" w:type="dxa"/>
            <w:noWrap/>
            <w:vAlign w:val="center"/>
            <w:hideMark/>
          </w:tcPr>
          <w:p w14:paraId="64079241" w14:textId="5B197BC1"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8</w:t>
            </w:r>
          </w:p>
        </w:tc>
        <w:tc>
          <w:tcPr>
            <w:tcW w:w="1276" w:type="dxa"/>
            <w:vMerge/>
            <w:vAlign w:val="center"/>
          </w:tcPr>
          <w:p w14:paraId="73C6C547" w14:textId="67983FC2"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c>
          <w:tcPr>
            <w:tcW w:w="1411" w:type="dxa"/>
            <w:vMerge/>
            <w:vAlign w:val="center"/>
          </w:tcPr>
          <w:p w14:paraId="5D99E6B8" w14:textId="7777777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3609FF41" w14:textId="1FE673E8" w:rsidTr="00F9630D">
        <w:trPr>
          <w:trHeight w:val="283"/>
        </w:trPr>
        <w:tc>
          <w:tcPr>
            <w:tcW w:w="1140" w:type="dxa"/>
            <w:noWrap/>
            <w:vAlign w:val="bottom"/>
            <w:hideMark/>
          </w:tcPr>
          <w:p w14:paraId="12DB1944" w14:textId="4CADF54C"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RS00014223</w:t>
            </w:r>
          </w:p>
        </w:tc>
        <w:tc>
          <w:tcPr>
            <w:tcW w:w="3964" w:type="dxa"/>
            <w:shd w:val="clear" w:color="000000" w:fill="F2CEEF"/>
            <w:vAlign w:val="bottom"/>
            <w:hideMark/>
          </w:tcPr>
          <w:p w14:paraId="7A6513C6" w14:textId="7B08C115"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362 RICHMOND RD, CANNON HILL</w:t>
            </w:r>
          </w:p>
        </w:tc>
        <w:tc>
          <w:tcPr>
            <w:tcW w:w="992" w:type="dxa"/>
            <w:noWrap/>
            <w:vAlign w:val="center"/>
            <w:hideMark/>
          </w:tcPr>
          <w:p w14:paraId="12B49D7A" w14:textId="635DC8B6"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6</w:t>
            </w:r>
          </w:p>
        </w:tc>
        <w:tc>
          <w:tcPr>
            <w:tcW w:w="1276" w:type="dxa"/>
            <w:vMerge/>
            <w:vAlign w:val="center"/>
          </w:tcPr>
          <w:p w14:paraId="26FE01F0" w14:textId="3D062558"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c>
          <w:tcPr>
            <w:tcW w:w="1411" w:type="dxa"/>
            <w:vMerge/>
            <w:vAlign w:val="center"/>
          </w:tcPr>
          <w:p w14:paraId="66F941D4" w14:textId="7777777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481E6615" w14:textId="6B31DDB3" w:rsidTr="00F9630D">
        <w:trPr>
          <w:trHeight w:val="283"/>
        </w:trPr>
        <w:tc>
          <w:tcPr>
            <w:tcW w:w="1140" w:type="dxa"/>
            <w:noWrap/>
            <w:vAlign w:val="bottom"/>
            <w:hideMark/>
          </w:tcPr>
          <w:p w14:paraId="016B1DDE" w14:textId="6B23C013"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RS00014224</w:t>
            </w:r>
          </w:p>
        </w:tc>
        <w:tc>
          <w:tcPr>
            <w:tcW w:w="3964" w:type="dxa"/>
            <w:shd w:val="clear" w:color="000000" w:fill="F2CEEF"/>
            <w:vAlign w:val="bottom"/>
            <w:hideMark/>
          </w:tcPr>
          <w:p w14:paraId="0565907D" w14:textId="08D58C4B"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364 RICHMOND RD, CANNON HILL</w:t>
            </w:r>
          </w:p>
        </w:tc>
        <w:tc>
          <w:tcPr>
            <w:tcW w:w="992" w:type="dxa"/>
            <w:noWrap/>
            <w:vAlign w:val="center"/>
            <w:hideMark/>
          </w:tcPr>
          <w:p w14:paraId="2464BFCA" w14:textId="0C8A467F"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6</w:t>
            </w:r>
          </w:p>
        </w:tc>
        <w:tc>
          <w:tcPr>
            <w:tcW w:w="1276" w:type="dxa"/>
            <w:vMerge/>
            <w:vAlign w:val="center"/>
          </w:tcPr>
          <w:p w14:paraId="189B8758" w14:textId="2DB4456C"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c>
          <w:tcPr>
            <w:tcW w:w="1411" w:type="dxa"/>
            <w:vMerge/>
            <w:vAlign w:val="center"/>
          </w:tcPr>
          <w:p w14:paraId="73131748" w14:textId="7777777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r>
      <w:tr w:rsidR="00F9630D" w:rsidRPr="000A0D96" w14:paraId="18707FB3" w14:textId="20D87D22" w:rsidTr="00F9630D">
        <w:trPr>
          <w:trHeight w:val="283"/>
        </w:trPr>
        <w:tc>
          <w:tcPr>
            <w:tcW w:w="1140" w:type="dxa"/>
            <w:noWrap/>
            <w:vAlign w:val="bottom"/>
            <w:hideMark/>
          </w:tcPr>
          <w:p w14:paraId="513F08EF" w14:textId="51C0B3D2"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RS00014225</w:t>
            </w:r>
          </w:p>
        </w:tc>
        <w:tc>
          <w:tcPr>
            <w:tcW w:w="3964" w:type="dxa"/>
            <w:shd w:val="clear" w:color="000000" w:fill="F2CEEF"/>
            <w:vAlign w:val="bottom"/>
            <w:hideMark/>
          </w:tcPr>
          <w:p w14:paraId="7A469E20" w14:textId="11D920FF" w:rsidR="00F9630D" w:rsidRPr="000A0D96" w:rsidRDefault="00F9630D" w:rsidP="000A0D96">
            <w:pPr>
              <w:spacing w:after="0" w:line="240" w:lineRule="auto"/>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366 RICHMOND RD, CANNON HILL</w:t>
            </w:r>
          </w:p>
        </w:tc>
        <w:tc>
          <w:tcPr>
            <w:tcW w:w="992" w:type="dxa"/>
            <w:noWrap/>
            <w:vAlign w:val="center"/>
            <w:hideMark/>
          </w:tcPr>
          <w:p w14:paraId="022D21A6" w14:textId="3D4C165A"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r w:rsidRPr="000A0D96">
              <w:rPr>
                <w:rFonts w:ascii="Aptos Narrow" w:eastAsia="Times New Roman" w:hAnsi="Aptos Narrow" w:cs="Times New Roman"/>
                <w:color w:val="000000"/>
                <w:sz w:val="18"/>
                <w:szCs w:val="18"/>
                <w:lang w:eastAsia="en-AU"/>
              </w:rPr>
              <w:t>6</w:t>
            </w:r>
          </w:p>
        </w:tc>
        <w:tc>
          <w:tcPr>
            <w:tcW w:w="1276" w:type="dxa"/>
            <w:vMerge/>
            <w:vAlign w:val="center"/>
          </w:tcPr>
          <w:p w14:paraId="329637E2" w14:textId="43158BB9"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c>
          <w:tcPr>
            <w:tcW w:w="1411" w:type="dxa"/>
            <w:vMerge/>
            <w:vAlign w:val="center"/>
          </w:tcPr>
          <w:p w14:paraId="2C454B9B" w14:textId="77777777" w:rsidR="00F9630D" w:rsidRPr="000A0D96" w:rsidRDefault="00F9630D" w:rsidP="00F77812">
            <w:pPr>
              <w:spacing w:after="0" w:line="240" w:lineRule="auto"/>
              <w:jc w:val="center"/>
              <w:rPr>
                <w:rFonts w:ascii="Aptos Narrow" w:eastAsia="Times New Roman" w:hAnsi="Aptos Narrow" w:cs="Times New Roman"/>
                <w:color w:val="000000"/>
                <w:sz w:val="18"/>
                <w:szCs w:val="18"/>
                <w:lang w:eastAsia="en-AU"/>
              </w:rPr>
            </w:pPr>
          </w:p>
        </w:tc>
      </w:tr>
    </w:tbl>
    <w:p w14:paraId="3A951526" w14:textId="77777777" w:rsidR="0060094A" w:rsidRDefault="0060094A"/>
    <w:p w14:paraId="1CD4C3EE" w14:textId="5D6D063C" w:rsidR="0012348D" w:rsidRDefault="0012348D">
      <w:r>
        <w:br w:type="page"/>
      </w:r>
    </w:p>
    <w:p w14:paraId="1B12991E" w14:textId="58E7DF4D" w:rsidR="00CF1764" w:rsidRPr="00011366" w:rsidRDefault="0012348D" w:rsidP="00CF1764">
      <w:pPr>
        <w:pStyle w:val="Heading1"/>
        <w:spacing w:before="120"/>
        <w:rPr>
          <w:b/>
          <w:bCs/>
          <w:sz w:val="28"/>
          <w:szCs w:val="28"/>
        </w:rPr>
      </w:pPr>
      <w:r>
        <w:rPr>
          <w:b/>
          <w:bCs/>
          <w:sz w:val="28"/>
          <w:szCs w:val="28"/>
        </w:rPr>
        <w:lastRenderedPageBreak/>
        <w:t xml:space="preserve">Appendix </w:t>
      </w:r>
      <w:r w:rsidR="007203E5">
        <w:rPr>
          <w:b/>
          <w:bCs/>
          <w:sz w:val="28"/>
          <w:szCs w:val="28"/>
        </w:rPr>
        <w:t>2</w:t>
      </w:r>
      <w:r>
        <w:rPr>
          <w:b/>
          <w:bCs/>
          <w:sz w:val="28"/>
          <w:szCs w:val="28"/>
        </w:rPr>
        <w:t xml:space="preserve"> – </w:t>
      </w:r>
      <w:r w:rsidR="00CF1764" w:rsidRPr="00011366">
        <w:rPr>
          <w:b/>
          <w:bCs/>
          <w:sz w:val="28"/>
          <w:szCs w:val="28"/>
        </w:rPr>
        <w:t>Victorian Government Supported Residential Services Outreach and Assistance Program</w:t>
      </w:r>
    </w:p>
    <w:p w14:paraId="3388DE27" w14:textId="5E9803CF" w:rsidR="00CF1764" w:rsidRDefault="00CF1764" w:rsidP="00CF1764">
      <w:pPr>
        <w:spacing w:after="120"/>
      </w:pPr>
      <w:r w:rsidRPr="002A7485">
        <w:t>The Supported Residential Services Outreach and Assistance Program (SRS</w:t>
      </w:r>
      <w:r w:rsidR="00394F04">
        <w:t>-</w:t>
      </w:r>
      <w:r w:rsidRPr="002A7485">
        <w:t>OAP)</w:t>
      </w:r>
      <w:r>
        <w:t xml:space="preserve"> supports the health and wellbeing of people living in </w:t>
      </w:r>
      <w:r w:rsidRPr="002A7485">
        <w:t xml:space="preserve">Supported Residential Services </w:t>
      </w:r>
      <w:r>
        <w:t>and helps maintain a supply of low-cost accommodation for low-income Victorians who need assistance with the activities of daily living.</w:t>
      </w:r>
    </w:p>
    <w:p w14:paraId="24BF583C" w14:textId="3CA64CE8" w:rsidR="00CF1764" w:rsidRDefault="00CF1764" w:rsidP="00CF1764">
      <w:pPr>
        <w:spacing w:after="120"/>
      </w:pPr>
      <w:r>
        <w:t>SRS</w:t>
      </w:r>
      <w:r w:rsidR="00394F04">
        <w:t>-</w:t>
      </w:r>
      <w:r>
        <w:t xml:space="preserve">OAP provides three lines of Support Funding designed to support resident-focused improvements in supported residential services: </w:t>
      </w:r>
    </w:p>
    <w:p w14:paraId="5BA8B602" w14:textId="22212FBC" w:rsidR="00CF1764" w:rsidRPr="005C7F29" w:rsidRDefault="00CF1764" w:rsidP="002F0C0D">
      <w:pPr>
        <w:pStyle w:val="ListParagraph"/>
        <w:numPr>
          <w:ilvl w:val="0"/>
          <w:numId w:val="1"/>
        </w:numPr>
        <w:spacing w:after="120"/>
        <w:ind w:left="714" w:hanging="357"/>
        <w:rPr>
          <w:rFonts w:ascii="Calibri" w:hAnsi="Calibri" w:cs="Calibri"/>
        </w:rPr>
      </w:pPr>
      <w:r w:rsidRPr="005C7F29">
        <w:rPr>
          <w:rFonts w:ascii="Calibri" w:hAnsi="Calibri" w:cs="Calibri"/>
        </w:rPr>
        <w:t xml:space="preserve">Facility Cost Relief - a financial supplement to support </w:t>
      </w:r>
      <w:r>
        <w:rPr>
          <w:rFonts w:ascii="Calibri" w:hAnsi="Calibri" w:cs="Calibri"/>
        </w:rPr>
        <w:t xml:space="preserve">providers </w:t>
      </w:r>
      <w:r w:rsidRPr="005C7F29">
        <w:rPr>
          <w:rFonts w:ascii="Calibri" w:hAnsi="Calibri" w:cs="Calibri"/>
        </w:rPr>
        <w:t xml:space="preserve">maintain a supply of </w:t>
      </w:r>
      <w:r w:rsidR="00394F04">
        <w:rPr>
          <w:rFonts w:ascii="Calibri" w:hAnsi="Calibri" w:cs="Calibri"/>
        </w:rPr>
        <w:t>low-cost</w:t>
      </w:r>
      <w:r>
        <w:rPr>
          <w:rFonts w:ascii="Calibri" w:hAnsi="Calibri" w:cs="Calibri"/>
        </w:rPr>
        <w:t xml:space="preserve"> </w:t>
      </w:r>
      <w:r w:rsidRPr="005C7F29">
        <w:rPr>
          <w:rFonts w:ascii="Calibri" w:hAnsi="Calibri" w:cs="Calibri"/>
        </w:rPr>
        <w:t xml:space="preserve">beds. </w:t>
      </w:r>
    </w:p>
    <w:p w14:paraId="725B5E1D" w14:textId="77777777" w:rsidR="00CF1764" w:rsidRPr="005C7F29" w:rsidRDefault="00CF1764" w:rsidP="002F0C0D">
      <w:pPr>
        <w:pStyle w:val="ListParagraph"/>
        <w:numPr>
          <w:ilvl w:val="0"/>
          <w:numId w:val="1"/>
        </w:numPr>
        <w:spacing w:after="120"/>
        <w:ind w:left="714" w:hanging="357"/>
        <w:rPr>
          <w:rFonts w:ascii="Calibri" w:hAnsi="Calibri" w:cs="Calibri"/>
        </w:rPr>
      </w:pPr>
      <w:r w:rsidRPr="005C7F29">
        <w:rPr>
          <w:rFonts w:ascii="Calibri" w:hAnsi="Calibri" w:cs="Calibri"/>
        </w:rPr>
        <w:t xml:space="preserve">Amenity and Safety funding – to support physical amenity and safety improvements in </w:t>
      </w:r>
      <w:r>
        <w:rPr>
          <w:rFonts w:ascii="Calibri" w:hAnsi="Calibri" w:cs="Calibri"/>
        </w:rPr>
        <w:t>facilities</w:t>
      </w:r>
      <w:r w:rsidRPr="005C7F29">
        <w:rPr>
          <w:rFonts w:ascii="Calibri" w:hAnsi="Calibri" w:cs="Calibri"/>
        </w:rPr>
        <w:t xml:space="preserve">, increase </w:t>
      </w:r>
      <w:r>
        <w:rPr>
          <w:rFonts w:ascii="Calibri" w:hAnsi="Calibri" w:cs="Calibri"/>
        </w:rPr>
        <w:t xml:space="preserve">provider </w:t>
      </w:r>
      <w:r w:rsidRPr="005C7F29">
        <w:rPr>
          <w:rFonts w:ascii="Calibri" w:hAnsi="Calibri" w:cs="Calibri"/>
        </w:rPr>
        <w:t xml:space="preserve">staff training, and resident activities. </w:t>
      </w:r>
    </w:p>
    <w:p w14:paraId="36367440" w14:textId="77777777" w:rsidR="00CF1764" w:rsidRPr="005C7F29" w:rsidRDefault="00CF1764" w:rsidP="002F0C0D">
      <w:pPr>
        <w:pStyle w:val="ListParagraph"/>
        <w:numPr>
          <w:ilvl w:val="0"/>
          <w:numId w:val="1"/>
        </w:numPr>
        <w:spacing w:after="120"/>
        <w:ind w:left="714" w:hanging="357"/>
        <w:rPr>
          <w:rFonts w:ascii="Calibri" w:hAnsi="Calibri" w:cs="Calibri"/>
        </w:rPr>
      </w:pPr>
      <w:r w:rsidRPr="005C7F29">
        <w:rPr>
          <w:rFonts w:ascii="Calibri" w:hAnsi="Calibri" w:cs="Calibri"/>
        </w:rPr>
        <w:t xml:space="preserve">Fresh Food funding – to support the availability and access to fresh food for residents of </w:t>
      </w:r>
      <w:r>
        <w:rPr>
          <w:rFonts w:ascii="Calibri" w:hAnsi="Calibri" w:cs="Calibri"/>
        </w:rPr>
        <w:t>supported residential services</w:t>
      </w:r>
      <w:r w:rsidRPr="005C7F29">
        <w:rPr>
          <w:rFonts w:ascii="Calibri" w:hAnsi="Calibri" w:cs="Calibri"/>
        </w:rPr>
        <w:t>.</w:t>
      </w:r>
    </w:p>
    <w:p w14:paraId="62167C83" w14:textId="77777777" w:rsidR="00CF1764" w:rsidRDefault="00CF1764" w:rsidP="00CF1764">
      <w:pPr>
        <w:spacing w:after="120"/>
      </w:pPr>
      <w:r>
        <w:t>External f</w:t>
      </w:r>
      <w:r w:rsidRPr="00D87C6A">
        <w:t xml:space="preserve">unded organisations </w:t>
      </w:r>
      <w:r>
        <w:t xml:space="preserve">are funded to </w:t>
      </w:r>
      <w:r w:rsidRPr="00D87C6A">
        <w:t xml:space="preserve">provide </w:t>
      </w:r>
      <w:r w:rsidRPr="00DC7B56">
        <w:t>Capacity Building and Resident Outreach</w:t>
      </w:r>
      <w:r w:rsidRPr="00D87C6A">
        <w:t xml:space="preserve"> services to participating </w:t>
      </w:r>
      <w:r>
        <w:t>residential services</w:t>
      </w:r>
      <w:r w:rsidRPr="00D87C6A">
        <w:t>.</w:t>
      </w:r>
      <w:r>
        <w:t xml:space="preserve"> This funding provides for </w:t>
      </w:r>
      <w:r w:rsidRPr="00211045">
        <w:t xml:space="preserve">skilled health and community workers to be available on site and develop positive working relationships with providers and staff to assist </w:t>
      </w:r>
      <w:r>
        <w:t>residents with their support needs, access local services and participate in the community The external organisation coordinated collaborative case planning and has access to flexible funds/brokerage to assist residents. A key role of the external workers is to increase the capability of the staff working in the facilities.</w:t>
      </w:r>
    </w:p>
    <w:p w14:paraId="6D59DCA7" w14:textId="0AE17A9A" w:rsidR="0060300B" w:rsidRDefault="0060300B"/>
    <w:sectPr w:rsidR="0060300B" w:rsidSect="009D53E2">
      <w:footerReference w:type="default" r:id="rId18"/>
      <w:headerReference w:type="first" r:id="rId19"/>
      <w:footerReference w:type="first" r:id="rId20"/>
      <w:pgSz w:w="11906" w:h="16838"/>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605F" w14:textId="77777777" w:rsidR="00EC4E24" w:rsidRDefault="00EC4E24" w:rsidP="00D927D0">
      <w:pPr>
        <w:spacing w:after="0" w:line="240" w:lineRule="auto"/>
      </w:pPr>
      <w:r>
        <w:separator/>
      </w:r>
    </w:p>
  </w:endnote>
  <w:endnote w:type="continuationSeparator" w:id="0">
    <w:p w14:paraId="542B958C" w14:textId="77777777" w:rsidR="00EC4E24" w:rsidRDefault="00EC4E24" w:rsidP="00D9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82205"/>
      <w:docPartObj>
        <w:docPartGallery w:val="Page Numbers (Bottom of Page)"/>
        <w:docPartUnique/>
      </w:docPartObj>
    </w:sdtPr>
    <w:sdtEndPr>
      <w:rPr>
        <w:noProof/>
      </w:rPr>
    </w:sdtEndPr>
    <w:sdtContent>
      <w:p w14:paraId="1CC08F54" w14:textId="22579E99" w:rsidR="00D45074" w:rsidRDefault="00D45074" w:rsidP="00D45074">
        <w:pPr>
          <w:pStyle w:val="Footer"/>
          <w:jc w:val="center"/>
        </w:pPr>
        <w:r w:rsidRPr="00E254B2">
          <w:rPr>
            <w:rFonts w:eastAsia="Times New Roman"/>
            <w:noProof/>
          </w:rPr>
          <w:drawing>
            <wp:anchor distT="0" distB="0" distL="114300" distR="114300" simplePos="0" relativeHeight="251683840" behindDoc="0" locked="0" layoutInCell="1" allowOverlap="1" wp14:anchorId="61A07AC8" wp14:editId="26968F60">
              <wp:simplePos x="0" y="0"/>
              <wp:positionH relativeFrom="margin">
                <wp:align>right</wp:align>
              </wp:positionH>
              <wp:positionV relativeFrom="bottomMargin">
                <wp:align>top</wp:align>
              </wp:positionV>
              <wp:extent cx="869950" cy="830580"/>
              <wp:effectExtent l="0" t="0" r="6350" b="7620"/>
              <wp:wrapNone/>
              <wp:docPr id="16092142" name="Picture 5" descr="Icon&#10;&#10;Description automatically generated with low confidence">
                <a:extLst xmlns:a="http://schemas.openxmlformats.org/drawingml/2006/main">
                  <a:ext uri="{FF2B5EF4-FFF2-40B4-BE49-F238E27FC236}">
                    <a16:creationId xmlns:a16="http://schemas.microsoft.com/office/drawing/2014/main" id="{A2AA774E-D941-425C-A2EB-3638E221B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A2AA774E-D941-425C-A2EB-3638E221BE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69950" cy="83058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E215" w14:textId="2529A66A" w:rsidR="00A36E52" w:rsidRDefault="009103B5" w:rsidP="005B2BD4">
    <w:pPr>
      <w:pStyle w:val="Footer"/>
      <w:jc w:val="center"/>
    </w:pPr>
    <w:r>
      <w:rPr>
        <w:noProof/>
      </w:rPr>
      <mc:AlternateContent>
        <mc:Choice Requires="wps">
          <w:drawing>
            <wp:anchor distT="0" distB="0" distL="114300" distR="114300" simplePos="0" relativeHeight="251687936" behindDoc="0" locked="0" layoutInCell="1" allowOverlap="1" wp14:anchorId="686FADDF" wp14:editId="6CA9F572">
              <wp:simplePos x="0" y="0"/>
              <wp:positionH relativeFrom="margin">
                <wp:posOffset>-754380</wp:posOffset>
              </wp:positionH>
              <wp:positionV relativeFrom="paragraph">
                <wp:posOffset>-586740</wp:posOffset>
              </wp:positionV>
              <wp:extent cx="7743080" cy="1141679"/>
              <wp:effectExtent l="0" t="0" r="0" b="1905"/>
              <wp:wrapNone/>
              <wp:docPr id="4" name="Rectangle 4"/>
              <wp:cNvGraphicFramePr/>
              <a:graphic xmlns:a="http://schemas.openxmlformats.org/drawingml/2006/main">
                <a:graphicData uri="http://schemas.microsoft.com/office/word/2010/wordprocessingShape">
                  <wps:wsp>
                    <wps:cNvSpPr/>
                    <wps:spPr>
                      <a:xfrm>
                        <a:off x="0" y="0"/>
                        <a:ext cx="7743080" cy="1141679"/>
                      </a:xfrm>
                      <a:prstGeom prst="rect">
                        <a:avLst/>
                      </a:prstGeom>
                      <a:solidFill>
                        <a:srgbClr val="596D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1FD44" id="Rectangle 4" o:spid="_x0000_s1026" style="position:absolute;margin-left:-59.4pt;margin-top:-46.2pt;width:609.7pt;height:89.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ZHgQIAAGAFAAAOAAAAZHJzL2Uyb0RvYy54bWysVE1v2zAMvQ/YfxB0X22nadMGdYqgRYcB&#10;RVesHXpWZCkxIIsapcTJfv0o+SNdV+wwLAdFEh8fyWdSV9f7xrCdQl+DLXlxknOmrISqtuuSf3++&#10;+3TBmQ/CVsKAVSU/KM+vFx8/XLVuriawAVMpZERi/bx1Jd+E4OZZ5uVGNcKfgFOWjBqwEYGOuM4q&#10;FC2xNyab5Pl51gJWDkEq7+n2tjPyReLXWsnwVWuvAjMlp9xCWjGtq7hmiysxX6Nwm1r2aYh/yKIR&#10;taWgI9WtCIJtsf6DqqklggcdTiQ0GWhdS5VqoGqK/E01TxvhVKqFxPFulMn/P1r5sHtyj0gytM7P&#10;PW1jFXuNTfyn/Ng+iXUYxVL7wCRdzmbT0/yCNJVkK4ppcT67jHJmR3eHPnxW0LC4KTnS10giid29&#10;Dx10gMRoHkxd3dXGpAOuVzcG2U7Qlzu7PL+9OO3Zf4MZG8EWolvHGG+yYzFpFw5GRZyx35RmdUXp&#10;T1Imqc/UGEdIqWwoOtNGVKoPn9NviB47M3qkShNhZNYUf+TuCQZkRzJwd1n2+OiqUpuOzvnfEuuc&#10;R48UGWwYnZvaAr5HYKiqPnKHH0TqpIkqraA6PCJD6IbEO3lX03e7Fz48CqSpoG9Nkx6+0qINtCWH&#10;fsfZBvDne/cRT81KVs5amrKS+x9bgYoz88VSG18W02kcy3SYns0mdMDXltVri902N0DtUNCb4mTa&#10;Rnwww1YjNC/0ICxjVDIJKyl2yWXA4XATuumnJ0Wq5TLBaBSdCPf2yclIHlWNffm8fxHo+uYN1PcP&#10;MEykmL/p4Q4bPS0stwF0nRr8qGuvN41xapz+yYnvxOtzQh0fxsUvAAAA//8DAFBLAwQUAAYACAAA&#10;ACEAOe8HmuIAAAAMAQAADwAAAGRycy9kb3ducmV2LnhtbEyPzU7DMBCE70i8g7VIXFDrJIraEOJU&#10;CAkhhDi05cDRjTc/EK8j223D27M9wW1WM5r5ttrMdhQn9GFwpCBdJiCQGmcG6hR87J8XBYgQNRk9&#10;OkIFPxhgU19fVbo07kxbPO1iJ7iEQqkV9DFOpZSh6dHqsHQTEnut81ZHPn0njddnLrejzJJkJa0e&#10;iBd6PeFTj8337mgV2Mzl73cv28+wX/uvtl1N5q17Ver2Zn58ABFxjn9huOAzOtTMdHBHMkGMChZp&#10;WjB7ZHWf5SAukZQXQRwUFOscZF3J/0/UvwAAAP//AwBQSwECLQAUAAYACAAAACEAtoM4kv4AAADh&#10;AQAAEwAAAAAAAAAAAAAAAAAAAAAAW0NvbnRlbnRfVHlwZXNdLnhtbFBLAQItABQABgAIAAAAIQA4&#10;/SH/1gAAAJQBAAALAAAAAAAAAAAAAAAAAC8BAABfcmVscy8ucmVsc1BLAQItABQABgAIAAAAIQDI&#10;glZHgQIAAGAFAAAOAAAAAAAAAAAAAAAAAC4CAABkcnMvZTJvRG9jLnhtbFBLAQItABQABgAIAAAA&#10;IQA57wea4gAAAAwBAAAPAAAAAAAAAAAAAAAAANsEAABkcnMvZG93bnJldi54bWxQSwUGAAAAAAQA&#10;BADzAAAA6gUAAAAA&#10;" fillcolor="#596d83" stroked="f" strokeweight="1pt">
              <w10:wrap anchorx="margin"/>
            </v:rect>
          </w:pict>
        </mc:Fallback>
      </mc:AlternateContent>
    </w:r>
    <w:r w:rsidR="00741FCB">
      <w:rPr>
        <w:rFonts w:eastAsia="Times New Roman"/>
        <w:noProof/>
      </w:rPr>
      <w:drawing>
        <wp:anchor distT="0" distB="0" distL="114300" distR="114300" simplePos="0" relativeHeight="251689984" behindDoc="0" locked="0" layoutInCell="1" allowOverlap="1" wp14:anchorId="0E7EF458" wp14:editId="1517D5C0">
          <wp:simplePos x="0" y="0"/>
          <wp:positionH relativeFrom="margin">
            <wp:posOffset>-26670</wp:posOffset>
          </wp:positionH>
          <wp:positionV relativeFrom="paragraph">
            <wp:posOffset>-393700</wp:posOffset>
          </wp:positionV>
          <wp:extent cx="193040" cy="861060"/>
          <wp:effectExtent l="0" t="0" r="0" b="0"/>
          <wp:wrapNone/>
          <wp:docPr id="1872525236" name="Picture 1872525236" descr="A black and white c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black and white cubes&#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304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FCB">
      <w:rPr>
        <w:noProof/>
      </w:rPr>
      <mc:AlternateContent>
        <mc:Choice Requires="wps">
          <w:drawing>
            <wp:anchor distT="0" distB="0" distL="114300" distR="114300" simplePos="0" relativeHeight="251688960" behindDoc="0" locked="0" layoutInCell="1" allowOverlap="1" wp14:anchorId="60730F3C" wp14:editId="149EF656">
              <wp:simplePos x="0" y="0"/>
              <wp:positionH relativeFrom="margin">
                <wp:posOffset>278130</wp:posOffset>
              </wp:positionH>
              <wp:positionV relativeFrom="paragraph">
                <wp:posOffset>-393700</wp:posOffset>
              </wp:positionV>
              <wp:extent cx="3139440" cy="643255"/>
              <wp:effectExtent l="0" t="0" r="0" b="0"/>
              <wp:wrapNone/>
              <wp:docPr id="2" name="TextBox 4">
                <a:extLst xmlns:a="http://schemas.openxmlformats.org/drawingml/2006/main">
                  <a:ext uri="{FF2B5EF4-FFF2-40B4-BE49-F238E27FC236}">
                    <a16:creationId xmlns:a16="http://schemas.microsoft.com/office/drawing/2014/main" id="{FCD1F0CA-5215-43E2-AC9D-BBE5111305AC}"/>
                  </a:ext>
                </a:extLst>
              </wp:docPr>
              <wp:cNvGraphicFramePr/>
              <a:graphic xmlns:a="http://schemas.openxmlformats.org/drawingml/2006/main">
                <a:graphicData uri="http://schemas.microsoft.com/office/word/2010/wordprocessingShape">
                  <wps:wsp>
                    <wps:cNvSpPr txBox="1"/>
                    <wps:spPr>
                      <a:xfrm>
                        <a:off x="0" y="0"/>
                        <a:ext cx="3139440" cy="643255"/>
                      </a:xfrm>
                      <a:prstGeom prst="rect">
                        <a:avLst/>
                      </a:prstGeom>
                      <a:noFill/>
                    </wps:spPr>
                    <wps:txbx>
                      <w:txbxContent>
                        <w:p w14:paraId="2E7F55F8" w14:textId="77777777" w:rsidR="00741FCB" w:rsidRPr="002962A8" w:rsidRDefault="00741FCB" w:rsidP="00741FCB">
                          <w:pPr>
                            <w:spacing w:after="0"/>
                            <w:rPr>
                              <w:rFonts w:cstheme="minorHAnsi"/>
                              <w:color w:val="FFFFFF" w:themeColor="background1"/>
                              <w:sz w:val="20"/>
                              <w:szCs w:val="20"/>
                            </w:rPr>
                          </w:pPr>
                          <w:r w:rsidRPr="002962A8">
                            <w:rPr>
                              <w:rFonts w:cstheme="minorHAnsi"/>
                              <w:b/>
                              <w:bCs/>
                              <w:color w:val="FFFFFF" w:themeColor="background1"/>
                              <w:kern w:val="24"/>
                              <w:sz w:val="20"/>
                              <w:szCs w:val="20"/>
                            </w:rPr>
                            <w:t>BBSafe</w:t>
                          </w:r>
                          <w:r>
                            <w:rPr>
                              <w:rFonts w:cstheme="minorHAnsi"/>
                              <w:b/>
                              <w:bCs/>
                              <w:color w:val="FFFFFF" w:themeColor="background1"/>
                              <w:kern w:val="24"/>
                              <w:sz w:val="20"/>
                              <w:szCs w:val="20"/>
                            </w:rPr>
                            <w:t xml:space="preserve"> Pty Ltd</w:t>
                          </w:r>
                          <w:r w:rsidRPr="002962A8">
                            <w:rPr>
                              <w:rFonts w:cstheme="minorHAnsi"/>
                              <w:b/>
                              <w:bCs/>
                              <w:color w:val="FFFFFF" w:themeColor="background1"/>
                              <w:kern w:val="24"/>
                              <w:sz w:val="20"/>
                              <w:szCs w:val="20"/>
                            </w:rPr>
                            <w:t xml:space="preserve"> – Building Block</w:t>
                          </w:r>
                          <w:r>
                            <w:rPr>
                              <w:rFonts w:cstheme="minorHAnsi"/>
                              <w:b/>
                              <w:bCs/>
                              <w:color w:val="FFFFFF" w:themeColor="background1"/>
                              <w:kern w:val="24"/>
                              <w:sz w:val="20"/>
                              <w:szCs w:val="20"/>
                            </w:rPr>
                            <w:t>s</w:t>
                          </w:r>
                          <w:r w:rsidRPr="002962A8">
                            <w:rPr>
                              <w:rFonts w:cstheme="minorHAnsi"/>
                              <w:b/>
                              <w:bCs/>
                              <w:color w:val="FFFFFF" w:themeColor="background1"/>
                              <w:kern w:val="24"/>
                              <w:sz w:val="20"/>
                              <w:szCs w:val="20"/>
                            </w:rPr>
                            <w:t xml:space="preserve"> of Safeguarding Culture</w:t>
                          </w:r>
                        </w:p>
                        <w:p w14:paraId="6611D13A" w14:textId="77777777" w:rsidR="00741FCB" w:rsidRPr="002962A8" w:rsidRDefault="00741FCB" w:rsidP="00741FCB">
                          <w:pPr>
                            <w:spacing w:after="0"/>
                            <w:rPr>
                              <w:rFonts w:cstheme="minorHAnsi"/>
                              <w:color w:val="FFFFFF" w:themeColor="background1"/>
                              <w:kern w:val="24"/>
                              <w:sz w:val="20"/>
                              <w:szCs w:val="20"/>
                            </w:rPr>
                          </w:pPr>
                          <w:r w:rsidRPr="002962A8">
                            <w:rPr>
                              <w:rFonts w:cstheme="minorHAnsi"/>
                              <w:color w:val="FFFFFF" w:themeColor="background1"/>
                              <w:kern w:val="24"/>
                              <w:sz w:val="20"/>
                              <w:szCs w:val="20"/>
                            </w:rPr>
                            <w:t xml:space="preserve">ABN: </w:t>
                          </w:r>
                          <w:r>
                            <w:rPr>
                              <w:rFonts w:cstheme="minorHAnsi"/>
                              <w:color w:val="FFFFFF" w:themeColor="background1"/>
                              <w:kern w:val="24"/>
                              <w:sz w:val="20"/>
                              <w:szCs w:val="20"/>
                            </w:rPr>
                            <w:t>3867 9560 895</w:t>
                          </w:r>
                        </w:p>
                        <w:p w14:paraId="54947882" w14:textId="77777777" w:rsidR="00741FCB" w:rsidRPr="002962A8" w:rsidRDefault="00741FCB" w:rsidP="00741FCB">
                          <w:pPr>
                            <w:spacing w:after="0"/>
                            <w:rPr>
                              <w:rFonts w:cstheme="minorHAnsi"/>
                              <w:color w:val="FFFFFF" w:themeColor="background1"/>
                              <w:sz w:val="20"/>
                              <w:szCs w:val="20"/>
                            </w:rPr>
                          </w:pPr>
                          <w:r w:rsidRPr="002962A8">
                            <w:rPr>
                              <w:rFonts w:cstheme="minorHAnsi"/>
                              <w:color w:val="FFFFFF" w:themeColor="background1"/>
                              <w:kern w:val="24"/>
                              <w:sz w:val="20"/>
                              <w:szCs w:val="20"/>
                            </w:rPr>
                            <w:t xml:space="preserve">Ph: </w:t>
                          </w:r>
                          <w:r>
                            <w:rPr>
                              <w:rFonts w:cstheme="minorHAnsi"/>
                              <w:color w:val="FFFFFF" w:themeColor="background1"/>
                              <w:kern w:val="24"/>
                              <w:sz w:val="20"/>
                              <w:szCs w:val="20"/>
                            </w:rPr>
                            <w:t>0421 139 727</w:t>
                          </w:r>
                        </w:p>
                        <w:p w14:paraId="5EDFF648" w14:textId="77777777" w:rsidR="00741FCB" w:rsidRDefault="00741FCB" w:rsidP="00741FCB">
                          <w:pPr>
                            <w:spacing w:after="0"/>
                            <w:rPr>
                              <w:rFonts w:cstheme="minorHAnsi"/>
                              <w:color w:val="FFFFFF" w:themeColor="background1"/>
                              <w:kern w:val="24"/>
                              <w:sz w:val="20"/>
                              <w:szCs w:val="20"/>
                            </w:rPr>
                          </w:pPr>
                          <w:r>
                            <w:rPr>
                              <w:rFonts w:cstheme="minorHAnsi"/>
                              <w:color w:val="FFFFFF" w:themeColor="background1"/>
                              <w:kern w:val="24"/>
                              <w:sz w:val="20"/>
                              <w:szCs w:val="20"/>
                            </w:rPr>
                            <w:t>danny.field</w:t>
                          </w:r>
                          <w:r w:rsidRPr="002962A8">
                            <w:rPr>
                              <w:rFonts w:cstheme="minorHAnsi"/>
                              <w:color w:val="FFFFFF" w:themeColor="background1"/>
                              <w:kern w:val="24"/>
                              <w:sz w:val="20"/>
                              <w:szCs w:val="20"/>
                            </w:rPr>
                            <w:t>@</w:t>
                          </w:r>
                          <w:r>
                            <w:rPr>
                              <w:rFonts w:cstheme="minorHAnsi"/>
                              <w:color w:val="FFFFFF" w:themeColor="background1"/>
                              <w:kern w:val="24"/>
                              <w:sz w:val="20"/>
                              <w:szCs w:val="20"/>
                            </w:rPr>
                            <w:t>bbsafe.com.au</w:t>
                          </w:r>
                        </w:p>
                        <w:p w14:paraId="50F806F1" w14:textId="77777777" w:rsidR="00741FCB" w:rsidRPr="002962A8" w:rsidRDefault="00741FCB" w:rsidP="00741FCB">
                          <w:pPr>
                            <w:spacing w:after="0"/>
                            <w:rPr>
                              <w:rFonts w:cstheme="minorHAnsi"/>
                              <w:color w:val="FFFFFF" w:themeColor="background1"/>
                              <w:sz w:val="20"/>
                              <w:szCs w:val="20"/>
                            </w:rPr>
                          </w:pPr>
                          <w:r>
                            <w:rPr>
                              <w:rFonts w:cstheme="minorHAnsi"/>
                              <w:color w:val="FFFFFF" w:themeColor="background1"/>
                              <w:sz w:val="20"/>
                              <w:szCs w:val="20"/>
                            </w:rPr>
                            <w:t>www.bbsafe.com.au</w:t>
                          </w:r>
                        </w:p>
                      </w:txbxContent>
                    </wps:txbx>
                    <wps:bodyPr wrap="square" rtlCol="0">
                      <a:spAutoFit/>
                    </wps:bodyPr>
                  </wps:wsp>
                </a:graphicData>
              </a:graphic>
              <wp14:sizeRelH relativeFrom="margin">
                <wp14:pctWidth>0</wp14:pctWidth>
              </wp14:sizeRelH>
            </wp:anchor>
          </w:drawing>
        </mc:Choice>
        <mc:Fallback>
          <w:pict>
            <v:shapetype w14:anchorId="60730F3C" id="_x0000_t202" coordsize="21600,21600" o:spt="202" path="m,l,21600r21600,l21600,xe">
              <v:stroke joinstyle="miter"/>
              <v:path gradientshapeok="t" o:connecttype="rect"/>
            </v:shapetype>
            <v:shape id="TextBox 4" o:spid="_x0000_s1026" type="#_x0000_t202" style="position:absolute;left:0;text-align:left;margin-left:21.9pt;margin-top:-31pt;width:247.2pt;height:50.6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81fwEAAOkCAAAOAAAAZHJzL2Uyb0RvYy54bWysUttO4zAQfUfaf7D8vk1vIDZqimARvCBA&#10;6u4HuI7dRIo93hm3Sf+esVtaxL4hXhx7LmfOnJPFzeA6sTNILfhKTkZjKYzXULd+U8m/fx5+XktB&#10;UfladeBNJfeG5M3yx8WiD6WZQgNdbVAwiKeyD5VsYgxlUZBujFM0gmA8Jy2gU5GfuClqVD2ju66Y&#10;jsdXRQ9YBwRtiDh6f0jKZca31uj4Yi2ZKLpKMreYT8znOp3FcqHKDarQtPpIQ32BhVOt56EnqHsV&#10;ldhi+x+UazUCgY0jDa4Aa1tt8g68zWT8aZtVo4LJu7A4FE4y0ffB6ufdKryiiMMdDGxgEqQPVBIH&#10;0z6DRZe+zFRwniXcn2QzQxSag7PJ7Nd8zinNuav5bHp5mWCKc3dAio8GnEiXSiLbktVSuyeKh9L3&#10;kjTMw0PbdSl+ppJucVgPR35rqPdMu2fnKkn/tgqNFBi735CNTigUbreRkfKA1H7oOaKynpni0ftk&#10;2Md3rjr/ocs3AAAA//8DAFBLAwQUAAYACAAAACEAShsrnN4AAAAJAQAADwAAAGRycy9kb3ducmV2&#10;LnhtbEyPzU7DMBCE70i8g7VI3FqnCa1KiFNV/EgcuFDCfRsvSURsR/G2Sd+e5QTH0Yxmvil2s+vV&#10;mcbYBW9gtUxAka+D7XxjoPp4WWxBRUZvsQ+eDFwowq68viowt2Hy73Q+cKOkxMccDbTMQ651rFty&#10;GJdhIC/eVxgdssix0XbEScpdr9Mk2WiHnZeFFgd6bKn+PpycAWa7X12qZxdfP+e3p6lN6jVWxtze&#10;zPsHUEwz/4XhF1/QoRSmYzh5G1Vv4C4Tcjaw2KTySQLrbJuCOhrI7jPQZaH/Pyh/AAAA//8DAFBL&#10;AQItABQABgAIAAAAIQC2gziS/gAAAOEBAAATAAAAAAAAAAAAAAAAAAAAAABbQ29udGVudF9UeXBl&#10;c10ueG1sUEsBAi0AFAAGAAgAAAAhADj9If/WAAAAlAEAAAsAAAAAAAAAAAAAAAAALwEAAF9yZWxz&#10;Ly5yZWxzUEsBAi0AFAAGAAgAAAAhALrkPzV/AQAA6QIAAA4AAAAAAAAAAAAAAAAALgIAAGRycy9l&#10;Mm9Eb2MueG1sUEsBAi0AFAAGAAgAAAAhAEobK5zeAAAACQEAAA8AAAAAAAAAAAAAAAAA2QMAAGRy&#10;cy9kb3ducmV2LnhtbFBLBQYAAAAABAAEAPMAAADkBAAAAAA=&#10;" filled="f" stroked="f">
              <v:textbox style="mso-fit-shape-to-text:t">
                <w:txbxContent>
                  <w:p w14:paraId="2E7F55F8" w14:textId="77777777" w:rsidR="00741FCB" w:rsidRPr="002962A8" w:rsidRDefault="00741FCB" w:rsidP="00741FCB">
                    <w:pPr>
                      <w:spacing w:after="0"/>
                      <w:rPr>
                        <w:rFonts w:cstheme="minorHAnsi"/>
                        <w:color w:val="FFFFFF" w:themeColor="background1"/>
                        <w:sz w:val="20"/>
                        <w:szCs w:val="20"/>
                      </w:rPr>
                    </w:pPr>
                    <w:r w:rsidRPr="002962A8">
                      <w:rPr>
                        <w:rFonts w:cstheme="minorHAnsi"/>
                        <w:b/>
                        <w:bCs/>
                        <w:color w:val="FFFFFF" w:themeColor="background1"/>
                        <w:kern w:val="24"/>
                        <w:sz w:val="20"/>
                        <w:szCs w:val="20"/>
                      </w:rPr>
                      <w:t>BBSafe</w:t>
                    </w:r>
                    <w:r>
                      <w:rPr>
                        <w:rFonts w:cstheme="minorHAnsi"/>
                        <w:b/>
                        <w:bCs/>
                        <w:color w:val="FFFFFF" w:themeColor="background1"/>
                        <w:kern w:val="24"/>
                        <w:sz w:val="20"/>
                        <w:szCs w:val="20"/>
                      </w:rPr>
                      <w:t xml:space="preserve"> Pty Ltd</w:t>
                    </w:r>
                    <w:r w:rsidRPr="002962A8">
                      <w:rPr>
                        <w:rFonts w:cstheme="minorHAnsi"/>
                        <w:b/>
                        <w:bCs/>
                        <w:color w:val="FFFFFF" w:themeColor="background1"/>
                        <w:kern w:val="24"/>
                        <w:sz w:val="20"/>
                        <w:szCs w:val="20"/>
                      </w:rPr>
                      <w:t xml:space="preserve"> – Building Block</w:t>
                    </w:r>
                    <w:r>
                      <w:rPr>
                        <w:rFonts w:cstheme="minorHAnsi"/>
                        <w:b/>
                        <w:bCs/>
                        <w:color w:val="FFFFFF" w:themeColor="background1"/>
                        <w:kern w:val="24"/>
                        <w:sz w:val="20"/>
                        <w:szCs w:val="20"/>
                      </w:rPr>
                      <w:t>s</w:t>
                    </w:r>
                    <w:r w:rsidRPr="002962A8">
                      <w:rPr>
                        <w:rFonts w:cstheme="minorHAnsi"/>
                        <w:b/>
                        <w:bCs/>
                        <w:color w:val="FFFFFF" w:themeColor="background1"/>
                        <w:kern w:val="24"/>
                        <w:sz w:val="20"/>
                        <w:szCs w:val="20"/>
                      </w:rPr>
                      <w:t xml:space="preserve"> of Safeguarding Culture</w:t>
                    </w:r>
                  </w:p>
                  <w:p w14:paraId="6611D13A" w14:textId="77777777" w:rsidR="00741FCB" w:rsidRPr="002962A8" w:rsidRDefault="00741FCB" w:rsidP="00741FCB">
                    <w:pPr>
                      <w:spacing w:after="0"/>
                      <w:rPr>
                        <w:rFonts w:cstheme="minorHAnsi"/>
                        <w:color w:val="FFFFFF" w:themeColor="background1"/>
                        <w:kern w:val="24"/>
                        <w:sz w:val="20"/>
                        <w:szCs w:val="20"/>
                      </w:rPr>
                    </w:pPr>
                    <w:r w:rsidRPr="002962A8">
                      <w:rPr>
                        <w:rFonts w:cstheme="minorHAnsi"/>
                        <w:color w:val="FFFFFF" w:themeColor="background1"/>
                        <w:kern w:val="24"/>
                        <w:sz w:val="20"/>
                        <w:szCs w:val="20"/>
                      </w:rPr>
                      <w:t xml:space="preserve">ABN: </w:t>
                    </w:r>
                    <w:r>
                      <w:rPr>
                        <w:rFonts w:cstheme="minorHAnsi"/>
                        <w:color w:val="FFFFFF" w:themeColor="background1"/>
                        <w:kern w:val="24"/>
                        <w:sz w:val="20"/>
                        <w:szCs w:val="20"/>
                      </w:rPr>
                      <w:t>3867 9560 895</w:t>
                    </w:r>
                  </w:p>
                  <w:p w14:paraId="54947882" w14:textId="77777777" w:rsidR="00741FCB" w:rsidRPr="002962A8" w:rsidRDefault="00741FCB" w:rsidP="00741FCB">
                    <w:pPr>
                      <w:spacing w:after="0"/>
                      <w:rPr>
                        <w:rFonts w:cstheme="minorHAnsi"/>
                        <w:color w:val="FFFFFF" w:themeColor="background1"/>
                        <w:sz w:val="20"/>
                        <w:szCs w:val="20"/>
                      </w:rPr>
                    </w:pPr>
                    <w:r w:rsidRPr="002962A8">
                      <w:rPr>
                        <w:rFonts w:cstheme="minorHAnsi"/>
                        <w:color w:val="FFFFFF" w:themeColor="background1"/>
                        <w:kern w:val="24"/>
                        <w:sz w:val="20"/>
                        <w:szCs w:val="20"/>
                      </w:rPr>
                      <w:t xml:space="preserve">Ph: </w:t>
                    </w:r>
                    <w:r>
                      <w:rPr>
                        <w:rFonts w:cstheme="minorHAnsi"/>
                        <w:color w:val="FFFFFF" w:themeColor="background1"/>
                        <w:kern w:val="24"/>
                        <w:sz w:val="20"/>
                        <w:szCs w:val="20"/>
                      </w:rPr>
                      <w:t>0421 139 727</w:t>
                    </w:r>
                  </w:p>
                  <w:p w14:paraId="5EDFF648" w14:textId="77777777" w:rsidR="00741FCB" w:rsidRDefault="00741FCB" w:rsidP="00741FCB">
                    <w:pPr>
                      <w:spacing w:after="0"/>
                      <w:rPr>
                        <w:rFonts w:cstheme="minorHAnsi"/>
                        <w:color w:val="FFFFFF" w:themeColor="background1"/>
                        <w:kern w:val="24"/>
                        <w:sz w:val="20"/>
                        <w:szCs w:val="20"/>
                      </w:rPr>
                    </w:pPr>
                    <w:r>
                      <w:rPr>
                        <w:rFonts w:cstheme="minorHAnsi"/>
                        <w:color w:val="FFFFFF" w:themeColor="background1"/>
                        <w:kern w:val="24"/>
                        <w:sz w:val="20"/>
                        <w:szCs w:val="20"/>
                      </w:rPr>
                      <w:t>danny.field</w:t>
                    </w:r>
                    <w:r w:rsidRPr="002962A8">
                      <w:rPr>
                        <w:rFonts w:cstheme="minorHAnsi"/>
                        <w:color w:val="FFFFFF" w:themeColor="background1"/>
                        <w:kern w:val="24"/>
                        <w:sz w:val="20"/>
                        <w:szCs w:val="20"/>
                      </w:rPr>
                      <w:t>@</w:t>
                    </w:r>
                    <w:r>
                      <w:rPr>
                        <w:rFonts w:cstheme="minorHAnsi"/>
                        <w:color w:val="FFFFFF" w:themeColor="background1"/>
                        <w:kern w:val="24"/>
                        <w:sz w:val="20"/>
                        <w:szCs w:val="20"/>
                      </w:rPr>
                      <w:t>bbsafe.com.au</w:t>
                    </w:r>
                  </w:p>
                  <w:p w14:paraId="50F806F1" w14:textId="77777777" w:rsidR="00741FCB" w:rsidRPr="002962A8" w:rsidRDefault="00741FCB" w:rsidP="00741FCB">
                    <w:pPr>
                      <w:spacing w:after="0"/>
                      <w:rPr>
                        <w:rFonts w:cstheme="minorHAnsi"/>
                        <w:color w:val="FFFFFF" w:themeColor="background1"/>
                        <w:sz w:val="20"/>
                        <w:szCs w:val="20"/>
                      </w:rPr>
                    </w:pPr>
                    <w:r>
                      <w:rPr>
                        <w:rFonts w:cstheme="minorHAnsi"/>
                        <w:color w:val="FFFFFF" w:themeColor="background1"/>
                        <w:sz w:val="20"/>
                        <w:szCs w:val="20"/>
                      </w:rPr>
                      <w:t>www.bbsafe.com.au</w:t>
                    </w:r>
                  </w:p>
                </w:txbxContent>
              </v:textbox>
              <w10:wrap anchorx="margin"/>
            </v:shape>
          </w:pict>
        </mc:Fallback>
      </mc:AlternateContent>
    </w:r>
    <w:r w:rsidR="0091062C" w:rsidRPr="00E254B2">
      <w:rPr>
        <w:rFonts w:eastAsia="Times New Roman"/>
        <w:noProof/>
      </w:rPr>
      <w:drawing>
        <wp:anchor distT="0" distB="0" distL="114300" distR="114300" simplePos="0" relativeHeight="251681792" behindDoc="0" locked="0" layoutInCell="1" allowOverlap="1" wp14:anchorId="40B791D2" wp14:editId="0CA77D8A">
          <wp:simplePos x="0" y="0"/>
          <wp:positionH relativeFrom="margin">
            <wp:posOffset>882015</wp:posOffset>
          </wp:positionH>
          <wp:positionV relativeFrom="paragraph">
            <wp:posOffset>2766060</wp:posOffset>
          </wp:positionV>
          <wp:extent cx="870037" cy="830580"/>
          <wp:effectExtent l="0" t="0" r="6350" b="7620"/>
          <wp:wrapNone/>
          <wp:docPr id="1701283305" name="Picture 5" descr="Icon&#10;&#10;Description automatically generated with low confidence">
            <a:extLst xmlns:a="http://schemas.openxmlformats.org/drawingml/2006/main">
              <a:ext uri="{FF2B5EF4-FFF2-40B4-BE49-F238E27FC236}">
                <a16:creationId xmlns:a16="http://schemas.microsoft.com/office/drawing/2014/main" id="{A2AA774E-D941-425C-A2EB-3638E221B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A2AA774E-D941-425C-A2EB-3638E221BE7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70037" cy="830580"/>
                  </a:xfrm>
                  <a:prstGeom prst="rect">
                    <a:avLst/>
                  </a:prstGeom>
                </pic:spPr>
              </pic:pic>
            </a:graphicData>
          </a:graphic>
          <wp14:sizeRelH relativeFrom="page">
            <wp14:pctWidth>0</wp14:pctWidth>
          </wp14:sizeRelH>
          <wp14:sizeRelV relativeFrom="page">
            <wp14:pctHeight>0</wp14:pctHeight>
          </wp14:sizeRelV>
        </wp:anchor>
      </w:drawing>
    </w:r>
    <w:r w:rsidR="00204C23" w:rsidRPr="00E254B2">
      <w:rPr>
        <w:rFonts w:eastAsia="Times New Roman"/>
        <w:noProof/>
      </w:rPr>
      <w:drawing>
        <wp:anchor distT="0" distB="0" distL="114300" distR="114300" simplePos="0" relativeHeight="251679744" behindDoc="0" locked="0" layoutInCell="1" allowOverlap="1" wp14:anchorId="743B7B57" wp14:editId="1087DD92">
          <wp:simplePos x="0" y="0"/>
          <wp:positionH relativeFrom="margin">
            <wp:posOffset>-245745</wp:posOffset>
          </wp:positionH>
          <wp:positionV relativeFrom="paragraph">
            <wp:posOffset>3078480</wp:posOffset>
          </wp:positionV>
          <wp:extent cx="870037" cy="830580"/>
          <wp:effectExtent l="0" t="0" r="6350" b="7620"/>
          <wp:wrapNone/>
          <wp:docPr id="1795259623" name="Picture 5" descr="Icon&#10;&#10;Description automatically generated with low confidence">
            <a:extLst xmlns:a="http://schemas.openxmlformats.org/drawingml/2006/main">
              <a:ext uri="{FF2B5EF4-FFF2-40B4-BE49-F238E27FC236}">
                <a16:creationId xmlns:a16="http://schemas.microsoft.com/office/drawing/2014/main" id="{A2AA774E-D941-425C-A2EB-3638E221B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A2AA774E-D941-425C-A2EB-3638E221BE7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70037" cy="830580"/>
                  </a:xfrm>
                  <a:prstGeom prst="rect">
                    <a:avLst/>
                  </a:prstGeom>
                </pic:spPr>
              </pic:pic>
            </a:graphicData>
          </a:graphic>
          <wp14:sizeRelH relativeFrom="page">
            <wp14:pctWidth>0</wp14:pctWidth>
          </wp14:sizeRelH>
          <wp14:sizeRelV relativeFrom="page">
            <wp14:pctHeight>0</wp14:pctHeight>
          </wp14:sizeRelV>
        </wp:anchor>
      </w:drawing>
    </w:r>
    <w:r w:rsidR="00204C23" w:rsidRPr="00E254B2">
      <w:rPr>
        <w:rFonts w:eastAsia="Times New Roman"/>
        <w:noProof/>
      </w:rPr>
      <w:drawing>
        <wp:anchor distT="0" distB="0" distL="114300" distR="114300" simplePos="0" relativeHeight="251677696" behindDoc="0" locked="0" layoutInCell="1" allowOverlap="1" wp14:anchorId="53997EAA" wp14:editId="474BD3A0">
          <wp:simplePos x="0" y="0"/>
          <wp:positionH relativeFrom="margin">
            <wp:posOffset>5715</wp:posOffset>
          </wp:positionH>
          <wp:positionV relativeFrom="paragraph">
            <wp:posOffset>3314700</wp:posOffset>
          </wp:positionV>
          <wp:extent cx="870037" cy="830580"/>
          <wp:effectExtent l="0" t="0" r="6350" b="7620"/>
          <wp:wrapNone/>
          <wp:docPr id="1134810604" name="Picture 5" descr="Icon&#10;&#10;Description automatically generated with low confidence">
            <a:extLst xmlns:a="http://schemas.openxmlformats.org/drawingml/2006/main">
              <a:ext uri="{FF2B5EF4-FFF2-40B4-BE49-F238E27FC236}">
                <a16:creationId xmlns:a16="http://schemas.microsoft.com/office/drawing/2014/main" id="{A2AA774E-D941-425C-A2EB-3638E221B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A2AA774E-D941-425C-A2EB-3638E221BE7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70037" cy="8305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A921" w14:textId="77777777" w:rsidR="00EC4E24" w:rsidRDefault="00EC4E24" w:rsidP="00D927D0">
      <w:pPr>
        <w:spacing w:after="0" w:line="240" w:lineRule="auto"/>
      </w:pPr>
      <w:r>
        <w:separator/>
      </w:r>
    </w:p>
  </w:footnote>
  <w:footnote w:type="continuationSeparator" w:id="0">
    <w:p w14:paraId="222775D3" w14:textId="77777777" w:rsidR="00EC4E24" w:rsidRDefault="00EC4E24" w:rsidP="00D92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5864" w14:textId="2E82E1A6" w:rsidR="00273EA0" w:rsidRDefault="00273EA0">
    <w:pPr>
      <w:pStyle w:val="Header"/>
    </w:pPr>
    <w:r w:rsidRPr="00E254B2">
      <w:rPr>
        <w:rFonts w:eastAsia="Times New Roman"/>
        <w:noProof/>
      </w:rPr>
      <w:drawing>
        <wp:anchor distT="0" distB="0" distL="114300" distR="114300" simplePos="0" relativeHeight="251685888" behindDoc="0" locked="0" layoutInCell="1" allowOverlap="1" wp14:anchorId="6E1777BE" wp14:editId="35A8AF5E">
          <wp:simplePos x="0" y="0"/>
          <wp:positionH relativeFrom="margin">
            <wp:align>right</wp:align>
          </wp:positionH>
          <wp:positionV relativeFrom="paragraph">
            <wp:posOffset>-198755</wp:posOffset>
          </wp:positionV>
          <wp:extent cx="1133192" cy="1081800"/>
          <wp:effectExtent l="0" t="0" r="0" b="4445"/>
          <wp:wrapNone/>
          <wp:docPr id="1377618393" name="Picture 5" descr="Icon&#10;&#10;Description automatically generated with low confidence">
            <a:extLst xmlns:a="http://schemas.openxmlformats.org/drawingml/2006/main">
              <a:ext uri="{FF2B5EF4-FFF2-40B4-BE49-F238E27FC236}">
                <a16:creationId xmlns:a16="http://schemas.microsoft.com/office/drawing/2014/main" id="{A2AA774E-D941-425C-A2EB-3638E221B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con&#10;&#10;Description automatically generated with low confidence">
                    <a:extLst>
                      <a:ext uri="{FF2B5EF4-FFF2-40B4-BE49-F238E27FC236}">
                        <a16:creationId xmlns:a16="http://schemas.microsoft.com/office/drawing/2014/main" id="{A2AA774E-D941-425C-A2EB-3638E221BE7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33192" cy="1081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0DD"/>
    <w:multiLevelType w:val="hybridMultilevel"/>
    <w:tmpl w:val="D00CF378"/>
    <w:lvl w:ilvl="0" w:tplc="57BC42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BAF6B6F"/>
    <w:multiLevelType w:val="hybridMultilevel"/>
    <w:tmpl w:val="8A7AE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2668D7"/>
    <w:multiLevelType w:val="hybridMultilevel"/>
    <w:tmpl w:val="0F86D6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6DE4AB0"/>
    <w:multiLevelType w:val="hybridMultilevel"/>
    <w:tmpl w:val="948E765A"/>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2E2A3A"/>
    <w:multiLevelType w:val="hybridMultilevel"/>
    <w:tmpl w:val="2DE4CE1E"/>
    <w:lvl w:ilvl="0" w:tplc="0C090013">
      <w:start w:val="1"/>
      <w:numFmt w:val="upperRoman"/>
      <w:lvlText w:val="%1."/>
      <w:lvlJc w:val="right"/>
      <w:pPr>
        <w:ind w:left="1440" w:hanging="360"/>
      </w:pPr>
    </w:lvl>
    <w:lvl w:ilvl="1" w:tplc="ED9AF68C">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D375CA7"/>
    <w:multiLevelType w:val="hybridMultilevel"/>
    <w:tmpl w:val="949CD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101B0"/>
    <w:multiLevelType w:val="hybridMultilevel"/>
    <w:tmpl w:val="BB8C58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90A6956"/>
    <w:multiLevelType w:val="multilevel"/>
    <w:tmpl w:val="8E44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B177D6"/>
    <w:multiLevelType w:val="hybridMultilevel"/>
    <w:tmpl w:val="309AD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F50E45"/>
    <w:multiLevelType w:val="hybridMultilevel"/>
    <w:tmpl w:val="FD346F3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B290CD0C">
      <w:numFmt w:val="bullet"/>
      <w:lvlText w:val="•"/>
      <w:lvlJc w:val="left"/>
      <w:pPr>
        <w:ind w:left="2700" w:hanging="720"/>
      </w:pPr>
      <w:rPr>
        <w:rFonts w:ascii="Calibri" w:eastAsiaTheme="minorHAns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566BA7"/>
    <w:multiLevelType w:val="multilevel"/>
    <w:tmpl w:val="8E000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2C5A26"/>
    <w:multiLevelType w:val="hybridMultilevel"/>
    <w:tmpl w:val="63A89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3F5C99"/>
    <w:multiLevelType w:val="hybridMultilevel"/>
    <w:tmpl w:val="629C5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FF444D"/>
    <w:multiLevelType w:val="hybridMultilevel"/>
    <w:tmpl w:val="52F2A66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6F6A42"/>
    <w:multiLevelType w:val="hybridMultilevel"/>
    <w:tmpl w:val="8122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2E309C"/>
    <w:multiLevelType w:val="hybridMultilevel"/>
    <w:tmpl w:val="AFAE48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B6E0BE7"/>
    <w:multiLevelType w:val="hybridMultilevel"/>
    <w:tmpl w:val="95820C9C"/>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num w:numId="1" w16cid:durableId="263998601">
    <w:abstractNumId w:val="9"/>
  </w:num>
  <w:num w:numId="2" w16cid:durableId="1010836139">
    <w:abstractNumId w:val="4"/>
  </w:num>
  <w:num w:numId="3" w16cid:durableId="511409434">
    <w:abstractNumId w:val="0"/>
  </w:num>
  <w:num w:numId="4" w16cid:durableId="39136713">
    <w:abstractNumId w:val="13"/>
  </w:num>
  <w:num w:numId="5" w16cid:durableId="282688020">
    <w:abstractNumId w:val="3"/>
  </w:num>
  <w:num w:numId="6" w16cid:durableId="1643149501">
    <w:abstractNumId w:val="5"/>
  </w:num>
  <w:num w:numId="7" w16cid:durableId="1368720151">
    <w:abstractNumId w:val="2"/>
  </w:num>
  <w:num w:numId="8" w16cid:durableId="177887025">
    <w:abstractNumId w:val="6"/>
  </w:num>
  <w:num w:numId="9" w16cid:durableId="1575629536">
    <w:abstractNumId w:val="16"/>
  </w:num>
  <w:num w:numId="10" w16cid:durableId="977684433">
    <w:abstractNumId w:val="14"/>
  </w:num>
  <w:num w:numId="11" w16cid:durableId="1864398521">
    <w:abstractNumId w:val="15"/>
  </w:num>
  <w:num w:numId="12" w16cid:durableId="1037003313">
    <w:abstractNumId w:val="7"/>
  </w:num>
  <w:num w:numId="13" w16cid:durableId="589779318">
    <w:abstractNumId w:val="12"/>
  </w:num>
  <w:num w:numId="14" w16cid:durableId="750274820">
    <w:abstractNumId w:val="11"/>
  </w:num>
  <w:num w:numId="15" w16cid:durableId="1061829579">
    <w:abstractNumId w:val="10"/>
  </w:num>
  <w:num w:numId="16" w16cid:durableId="416250562">
    <w:abstractNumId w:val="8"/>
  </w:num>
  <w:num w:numId="17" w16cid:durableId="9996255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D0"/>
    <w:rsid w:val="00000907"/>
    <w:rsid w:val="00005FC8"/>
    <w:rsid w:val="00006A61"/>
    <w:rsid w:val="00006ED1"/>
    <w:rsid w:val="00007D92"/>
    <w:rsid w:val="00010087"/>
    <w:rsid w:val="00011366"/>
    <w:rsid w:val="00011A1E"/>
    <w:rsid w:val="00011FBC"/>
    <w:rsid w:val="00012B98"/>
    <w:rsid w:val="0001391D"/>
    <w:rsid w:val="0001497C"/>
    <w:rsid w:val="00015101"/>
    <w:rsid w:val="000161C3"/>
    <w:rsid w:val="00017128"/>
    <w:rsid w:val="000177B2"/>
    <w:rsid w:val="00017ED6"/>
    <w:rsid w:val="00020175"/>
    <w:rsid w:val="00020B59"/>
    <w:rsid w:val="00021512"/>
    <w:rsid w:val="00023A98"/>
    <w:rsid w:val="000249C5"/>
    <w:rsid w:val="00024E09"/>
    <w:rsid w:val="0002748E"/>
    <w:rsid w:val="00027651"/>
    <w:rsid w:val="00031006"/>
    <w:rsid w:val="00034D78"/>
    <w:rsid w:val="000365F9"/>
    <w:rsid w:val="00037018"/>
    <w:rsid w:val="0003711D"/>
    <w:rsid w:val="00037BED"/>
    <w:rsid w:val="00042F12"/>
    <w:rsid w:val="00043B3D"/>
    <w:rsid w:val="00044679"/>
    <w:rsid w:val="000472F7"/>
    <w:rsid w:val="00047D1E"/>
    <w:rsid w:val="00047ED7"/>
    <w:rsid w:val="00050503"/>
    <w:rsid w:val="00051FF0"/>
    <w:rsid w:val="00053793"/>
    <w:rsid w:val="000552D6"/>
    <w:rsid w:val="00056640"/>
    <w:rsid w:val="00057DCC"/>
    <w:rsid w:val="000601D0"/>
    <w:rsid w:val="000613DF"/>
    <w:rsid w:val="00062F0E"/>
    <w:rsid w:val="0006303F"/>
    <w:rsid w:val="00063268"/>
    <w:rsid w:val="00065673"/>
    <w:rsid w:val="00067BA3"/>
    <w:rsid w:val="00067FD6"/>
    <w:rsid w:val="0007130E"/>
    <w:rsid w:val="00071841"/>
    <w:rsid w:val="00071A40"/>
    <w:rsid w:val="00072257"/>
    <w:rsid w:val="000808E2"/>
    <w:rsid w:val="00080C3B"/>
    <w:rsid w:val="00082D40"/>
    <w:rsid w:val="00083CD7"/>
    <w:rsid w:val="00086B14"/>
    <w:rsid w:val="00086BF6"/>
    <w:rsid w:val="000877F3"/>
    <w:rsid w:val="00087C41"/>
    <w:rsid w:val="00087D00"/>
    <w:rsid w:val="000915D6"/>
    <w:rsid w:val="00091986"/>
    <w:rsid w:val="00091F41"/>
    <w:rsid w:val="00092EC8"/>
    <w:rsid w:val="00094CE8"/>
    <w:rsid w:val="00095C40"/>
    <w:rsid w:val="000961CA"/>
    <w:rsid w:val="0009653E"/>
    <w:rsid w:val="00097877"/>
    <w:rsid w:val="000A0272"/>
    <w:rsid w:val="000A0D96"/>
    <w:rsid w:val="000A2F4E"/>
    <w:rsid w:val="000A30FD"/>
    <w:rsid w:val="000A6524"/>
    <w:rsid w:val="000A7752"/>
    <w:rsid w:val="000B07B8"/>
    <w:rsid w:val="000B0C69"/>
    <w:rsid w:val="000B3035"/>
    <w:rsid w:val="000B4211"/>
    <w:rsid w:val="000B72C3"/>
    <w:rsid w:val="000B7714"/>
    <w:rsid w:val="000C0694"/>
    <w:rsid w:val="000C073C"/>
    <w:rsid w:val="000C190F"/>
    <w:rsid w:val="000C1BFD"/>
    <w:rsid w:val="000C3428"/>
    <w:rsid w:val="000C3F2B"/>
    <w:rsid w:val="000C51B2"/>
    <w:rsid w:val="000C53CB"/>
    <w:rsid w:val="000C61DF"/>
    <w:rsid w:val="000C623A"/>
    <w:rsid w:val="000C723D"/>
    <w:rsid w:val="000D014D"/>
    <w:rsid w:val="000D0B42"/>
    <w:rsid w:val="000D1993"/>
    <w:rsid w:val="000D2E03"/>
    <w:rsid w:val="000D4406"/>
    <w:rsid w:val="000D6BD1"/>
    <w:rsid w:val="000D6E54"/>
    <w:rsid w:val="000E0C01"/>
    <w:rsid w:val="000E1448"/>
    <w:rsid w:val="000E2EF7"/>
    <w:rsid w:val="000E34B1"/>
    <w:rsid w:val="000E429F"/>
    <w:rsid w:val="000E54AE"/>
    <w:rsid w:val="000E58E1"/>
    <w:rsid w:val="000E732B"/>
    <w:rsid w:val="000F018B"/>
    <w:rsid w:val="000F4E29"/>
    <w:rsid w:val="000F563F"/>
    <w:rsid w:val="000F6315"/>
    <w:rsid w:val="00100295"/>
    <w:rsid w:val="001018FE"/>
    <w:rsid w:val="001049EA"/>
    <w:rsid w:val="00104ACD"/>
    <w:rsid w:val="0010558D"/>
    <w:rsid w:val="00106F8B"/>
    <w:rsid w:val="00107127"/>
    <w:rsid w:val="00107960"/>
    <w:rsid w:val="00107A6A"/>
    <w:rsid w:val="00111210"/>
    <w:rsid w:val="00112689"/>
    <w:rsid w:val="0011550A"/>
    <w:rsid w:val="00116069"/>
    <w:rsid w:val="00116BF7"/>
    <w:rsid w:val="001225BE"/>
    <w:rsid w:val="0012348D"/>
    <w:rsid w:val="00123E5B"/>
    <w:rsid w:val="00124547"/>
    <w:rsid w:val="001251E5"/>
    <w:rsid w:val="001273A8"/>
    <w:rsid w:val="001303C5"/>
    <w:rsid w:val="00135189"/>
    <w:rsid w:val="001353C1"/>
    <w:rsid w:val="001363EB"/>
    <w:rsid w:val="00136A2D"/>
    <w:rsid w:val="00141A5D"/>
    <w:rsid w:val="001420F9"/>
    <w:rsid w:val="001426B9"/>
    <w:rsid w:val="0014354F"/>
    <w:rsid w:val="00146F9B"/>
    <w:rsid w:val="001479AC"/>
    <w:rsid w:val="00147A43"/>
    <w:rsid w:val="00150056"/>
    <w:rsid w:val="001502E0"/>
    <w:rsid w:val="00150BA9"/>
    <w:rsid w:val="001522DB"/>
    <w:rsid w:val="00154036"/>
    <w:rsid w:val="001562AB"/>
    <w:rsid w:val="0015678B"/>
    <w:rsid w:val="001568E7"/>
    <w:rsid w:val="0015746D"/>
    <w:rsid w:val="00160169"/>
    <w:rsid w:val="001601AC"/>
    <w:rsid w:val="001605F6"/>
    <w:rsid w:val="00161AA5"/>
    <w:rsid w:val="001623FF"/>
    <w:rsid w:val="00164C9A"/>
    <w:rsid w:val="00171119"/>
    <w:rsid w:val="001723B4"/>
    <w:rsid w:val="00173014"/>
    <w:rsid w:val="00173453"/>
    <w:rsid w:val="00173749"/>
    <w:rsid w:val="00174AEA"/>
    <w:rsid w:val="00175BF9"/>
    <w:rsid w:val="00175DFC"/>
    <w:rsid w:val="0017673C"/>
    <w:rsid w:val="00176BDD"/>
    <w:rsid w:val="001839D1"/>
    <w:rsid w:val="00183A22"/>
    <w:rsid w:val="001847EE"/>
    <w:rsid w:val="00184BA5"/>
    <w:rsid w:val="0018508C"/>
    <w:rsid w:val="00186029"/>
    <w:rsid w:val="00190163"/>
    <w:rsid w:val="0019166B"/>
    <w:rsid w:val="0019508F"/>
    <w:rsid w:val="0019596C"/>
    <w:rsid w:val="00195A37"/>
    <w:rsid w:val="00195A98"/>
    <w:rsid w:val="00197372"/>
    <w:rsid w:val="001A031E"/>
    <w:rsid w:val="001A40F9"/>
    <w:rsid w:val="001A42EC"/>
    <w:rsid w:val="001A477A"/>
    <w:rsid w:val="001A4EDD"/>
    <w:rsid w:val="001A68A7"/>
    <w:rsid w:val="001A7750"/>
    <w:rsid w:val="001A7D70"/>
    <w:rsid w:val="001B0557"/>
    <w:rsid w:val="001B1777"/>
    <w:rsid w:val="001B3959"/>
    <w:rsid w:val="001B430D"/>
    <w:rsid w:val="001B4333"/>
    <w:rsid w:val="001B60C5"/>
    <w:rsid w:val="001B6378"/>
    <w:rsid w:val="001B6DF3"/>
    <w:rsid w:val="001B6F87"/>
    <w:rsid w:val="001B71DF"/>
    <w:rsid w:val="001B757A"/>
    <w:rsid w:val="001C16EA"/>
    <w:rsid w:val="001C385B"/>
    <w:rsid w:val="001C389E"/>
    <w:rsid w:val="001C3AFC"/>
    <w:rsid w:val="001C48E0"/>
    <w:rsid w:val="001C5235"/>
    <w:rsid w:val="001C575F"/>
    <w:rsid w:val="001C5F84"/>
    <w:rsid w:val="001D114E"/>
    <w:rsid w:val="001D1583"/>
    <w:rsid w:val="001D3B16"/>
    <w:rsid w:val="001D3EEA"/>
    <w:rsid w:val="001D40A5"/>
    <w:rsid w:val="001D5468"/>
    <w:rsid w:val="001D56D4"/>
    <w:rsid w:val="001D6E70"/>
    <w:rsid w:val="001D7478"/>
    <w:rsid w:val="001E03CA"/>
    <w:rsid w:val="001E294C"/>
    <w:rsid w:val="001E30A0"/>
    <w:rsid w:val="001E5D54"/>
    <w:rsid w:val="001E649E"/>
    <w:rsid w:val="001E7007"/>
    <w:rsid w:val="001F0659"/>
    <w:rsid w:val="001F13DB"/>
    <w:rsid w:val="001F48CB"/>
    <w:rsid w:val="001F4A14"/>
    <w:rsid w:val="001F548D"/>
    <w:rsid w:val="001F5868"/>
    <w:rsid w:val="001F63C6"/>
    <w:rsid w:val="001F685A"/>
    <w:rsid w:val="001F7089"/>
    <w:rsid w:val="001F7925"/>
    <w:rsid w:val="001F7AB8"/>
    <w:rsid w:val="002015B6"/>
    <w:rsid w:val="00201A4A"/>
    <w:rsid w:val="00202E40"/>
    <w:rsid w:val="00204C23"/>
    <w:rsid w:val="0020659F"/>
    <w:rsid w:val="00206ABB"/>
    <w:rsid w:val="002072F5"/>
    <w:rsid w:val="002072FC"/>
    <w:rsid w:val="002104EE"/>
    <w:rsid w:val="00211FF7"/>
    <w:rsid w:val="002132CB"/>
    <w:rsid w:val="0021387A"/>
    <w:rsid w:val="00213F1B"/>
    <w:rsid w:val="002148C5"/>
    <w:rsid w:val="00215984"/>
    <w:rsid w:val="002174A7"/>
    <w:rsid w:val="00217922"/>
    <w:rsid w:val="00217B47"/>
    <w:rsid w:val="00220037"/>
    <w:rsid w:val="00221EA6"/>
    <w:rsid w:val="00222489"/>
    <w:rsid w:val="00222773"/>
    <w:rsid w:val="002229B2"/>
    <w:rsid w:val="00223EE9"/>
    <w:rsid w:val="002247E0"/>
    <w:rsid w:val="002248BE"/>
    <w:rsid w:val="002260FF"/>
    <w:rsid w:val="00227568"/>
    <w:rsid w:val="00227948"/>
    <w:rsid w:val="00227C16"/>
    <w:rsid w:val="00230791"/>
    <w:rsid w:val="00231EEC"/>
    <w:rsid w:val="00232062"/>
    <w:rsid w:val="00232816"/>
    <w:rsid w:val="0023592A"/>
    <w:rsid w:val="00235E01"/>
    <w:rsid w:val="00237C79"/>
    <w:rsid w:val="00241878"/>
    <w:rsid w:val="00242D06"/>
    <w:rsid w:val="002441BF"/>
    <w:rsid w:val="002444CE"/>
    <w:rsid w:val="00250081"/>
    <w:rsid w:val="002506AC"/>
    <w:rsid w:val="002506EB"/>
    <w:rsid w:val="00251F1A"/>
    <w:rsid w:val="002525D3"/>
    <w:rsid w:val="002525DD"/>
    <w:rsid w:val="00254348"/>
    <w:rsid w:val="00255530"/>
    <w:rsid w:val="002564A5"/>
    <w:rsid w:val="00256B19"/>
    <w:rsid w:val="00257C63"/>
    <w:rsid w:val="00257C9A"/>
    <w:rsid w:val="00257F1C"/>
    <w:rsid w:val="00264FBC"/>
    <w:rsid w:val="00265F5A"/>
    <w:rsid w:val="002668C7"/>
    <w:rsid w:val="00266AA5"/>
    <w:rsid w:val="00270E0B"/>
    <w:rsid w:val="0027266A"/>
    <w:rsid w:val="00272724"/>
    <w:rsid w:val="002734D6"/>
    <w:rsid w:val="002735FC"/>
    <w:rsid w:val="002737AB"/>
    <w:rsid w:val="00273EA0"/>
    <w:rsid w:val="00274378"/>
    <w:rsid w:val="00274560"/>
    <w:rsid w:val="002746E9"/>
    <w:rsid w:val="002748EB"/>
    <w:rsid w:val="0027617D"/>
    <w:rsid w:val="0028107E"/>
    <w:rsid w:val="00282694"/>
    <w:rsid w:val="00284DD0"/>
    <w:rsid w:val="00284E53"/>
    <w:rsid w:val="00284EB3"/>
    <w:rsid w:val="00285516"/>
    <w:rsid w:val="00285B13"/>
    <w:rsid w:val="00287342"/>
    <w:rsid w:val="002913D4"/>
    <w:rsid w:val="00291C11"/>
    <w:rsid w:val="0029328B"/>
    <w:rsid w:val="0029345D"/>
    <w:rsid w:val="00293A9F"/>
    <w:rsid w:val="00294B8E"/>
    <w:rsid w:val="00295FFD"/>
    <w:rsid w:val="002962A8"/>
    <w:rsid w:val="002A0480"/>
    <w:rsid w:val="002A04C9"/>
    <w:rsid w:val="002A2918"/>
    <w:rsid w:val="002A472E"/>
    <w:rsid w:val="002A55C2"/>
    <w:rsid w:val="002A7485"/>
    <w:rsid w:val="002A7F2D"/>
    <w:rsid w:val="002B0CF5"/>
    <w:rsid w:val="002B1A2E"/>
    <w:rsid w:val="002B2A77"/>
    <w:rsid w:val="002B34DE"/>
    <w:rsid w:val="002B424C"/>
    <w:rsid w:val="002B468E"/>
    <w:rsid w:val="002B46B8"/>
    <w:rsid w:val="002B4D9F"/>
    <w:rsid w:val="002B5041"/>
    <w:rsid w:val="002B52D8"/>
    <w:rsid w:val="002B6093"/>
    <w:rsid w:val="002B7832"/>
    <w:rsid w:val="002B7A28"/>
    <w:rsid w:val="002B7BDF"/>
    <w:rsid w:val="002C19B5"/>
    <w:rsid w:val="002C2942"/>
    <w:rsid w:val="002C2B50"/>
    <w:rsid w:val="002C36B0"/>
    <w:rsid w:val="002C3D1D"/>
    <w:rsid w:val="002C4038"/>
    <w:rsid w:val="002C473C"/>
    <w:rsid w:val="002C54AD"/>
    <w:rsid w:val="002C5CC8"/>
    <w:rsid w:val="002C755D"/>
    <w:rsid w:val="002C7979"/>
    <w:rsid w:val="002C7E6A"/>
    <w:rsid w:val="002C7EA4"/>
    <w:rsid w:val="002D069F"/>
    <w:rsid w:val="002D4973"/>
    <w:rsid w:val="002D65D1"/>
    <w:rsid w:val="002D76F4"/>
    <w:rsid w:val="002D7DB2"/>
    <w:rsid w:val="002E1D5D"/>
    <w:rsid w:val="002E2A00"/>
    <w:rsid w:val="002E42FF"/>
    <w:rsid w:val="002E4BF1"/>
    <w:rsid w:val="002E6917"/>
    <w:rsid w:val="002F0C0D"/>
    <w:rsid w:val="002F28F6"/>
    <w:rsid w:val="002F3B42"/>
    <w:rsid w:val="002F41DC"/>
    <w:rsid w:val="002F56D3"/>
    <w:rsid w:val="002F5E33"/>
    <w:rsid w:val="002F60EE"/>
    <w:rsid w:val="002F6A04"/>
    <w:rsid w:val="002F7596"/>
    <w:rsid w:val="00301BD6"/>
    <w:rsid w:val="00301FB4"/>
    <w:rsid w:val="003026A5"/>
    <w:rsid w:val="00302C50"/>
    <w:rsid w:val="0030588E"/>
    <w:rsid w:val="003070A5"/>
    <w:rsid w:val="003071D8"/>
    <w:rsid w:val="003072F0"/>
    <w:rsid w:val="00307606"/>
    <w:rsid w:val="003139C5"/>
    <w:rsid w:val="00313A19"/>
    <w:rsid w:val="0031478C"/>
    <w:rsid w:val="003149FF"/>
    <w:rsid w:val="00314B23"/>
    <w:rsid w:val="0031532D"/>
    <w:rsid w:val="00315DAB"/>
    <w:rsid w:val="00316B06"/>
    <w:rsid w:val="00316DA3"/>
    <w:rsid w:val="00317785"/>
    <w:rsid w:val="00320394"/>
    <w:rsid w:val="00320D97"/>
    <w:rsid w:val="00321442"/>
    <w:rsid w:val="00322015"/>
    <w:rsid w:val="00322C93"/>
    <w:rsid w:val="00322CB0"/>
    <w:rsid w:val="003238DB"/>
    <w:rsid w:val="00324544"/>
    <w:rsid w:val="003252C7"/>
    <w:rsid w:val="00326890"/>
    <w:rsid w:val="00327835"/>
    <w:rsid w:val="00327A4F"/>
    <w:rsid w:val="00327F60"/>
    <w:rsid w:val="00330740"/>
    <w:rsid w:val="00331283"/>
    <w:rsid w:val="00332384"/>
    <w:rsid w:val="00332516"/>
    <w:rsid w:val="00332BF0"/>
    <w:rsid w:val="00333CB5"/>
    <w:rsid w:val="00334160"/>
    <w:rsid w:val="00334453"/>
    <w:rsid w:val="00335981"/>
    <w:rsid w:val="0033749E"/>
    <w:rsid w:val="00337FF1"/>
    <w:rsid w:val="00341A03"/>
    <w:rsid w:val="0034490A"/>
    <w:rsid w:val="00344A33"/>
    <w:rsid w:val="00344BBE"/>
    <w:rsid w:val="00345FD3"/>
    <w:rsid w:val="00352AF6"/>
    <w:rsid w:val="00353028"/>
    <w:rsid w:val="00353C68"/>
    <w:rsid w:val="0035400C"/>
    <w:rsid w:val="00354240"/>
    <w:rsid w:val="00354F39"/>
    <w:rsid w:val="003554AD"/>
    <w:rsid w:val="0035550C"/>
    <w:rsid w:val="00356C87"/>
    <w:rsid w:val="003577BE"/>
    <w:rsid w:val="003600E6"/>
    <w:rsid w:val="00360F29"/>
    <w:rsid w:val="00361AEF"/>
    <w:rsid w:val="00362B85"/>
    <w:rsid w:val="00362E23"/>
    <w:rsid w:val="003632F0"/>
    <w:rsid w:val="00364143"/>
    <w:rsid w:val="0036570F"/>
    <w:rsid w:val="00365BE5"/>
    <w:rsid w:val="003660F6"/>
    <w:rsid w:val="00366192"/>
    <w:rsid w:val="00367030"/>
    <w:rsid w:val="00370570"/>
    <w:rsid w:val="00370D28"/>
    <w:rsid w:val="00372F5B"/>
    <w:rsid w:val="00373186"/>
    <w:rsid w:val="00375744"/>
    <w:rsid w:val="003758EC"/>
    <w:rsid w:val="00375C07"/>
    <w:rsid w:val="003775D1"/>
    <w:rsid w:val="003801B2"/>
    <w:rsid w:val="003806F0"/>
    <w:rsid w:val="003819D0"/>
    <w:rsid w:val="00384D11"/>
    <w:rsid w:val="00385293"/>
    <w:rsid w:val="00386627"/>
    <w:rsid w:val="00386BB5"/>
    <w:rsid w:val="00390F58"/>
    <w:rsid w:val="00390F75"/>
    <w:rsid w:val="0039105E"/>
    <w:rsid w:val="003917CA"/>
    <w:rsid w:val="003934C5"/>
    <w:rsid w:val="00394F04"/>
    <w:rsid w:val="0039649F"/>
    <w:rsid w:val="00397BB5"/>
    <w:rsid w:val="003A0B83"/>
    <w:rsid w:val="003A1415"/>
    <w:rsid w:val="003A329A"/>
    <w:rsid w:val="003A38C8"/>
    <w:rsid w:val="003A4FE3"/>
    <w:rsid w:val="003A6673"/>
    <w:rsid w:val="003A69CE"/>
    <w:rsid w:val="003A6DB0"/>
    <w:rsid w:val="003A7159"/>
    <w:rsid w:val="003A73B1"/>
    <w:rsid w:val="003B154F"/>
    <w:rsid w:val="003B157E"/>
    <w:rsid w:val="003B192C"/>
    <w:rsid w:val="003B27C9"/>
    <w:rsid w:val="003B439C"/>
    <w:rsid w:val="003B54A6"/>
    <w:rsid w:val="003B56DD"/>
    <w:rsid w:val="003B5CC2"/>
    <w:rsid w:val="003B76CD"/>
    <w:rsid w:val="003C38C8"/>
    <w:rsid w:val="003D0EA2"/>
    <w:rsid w:val="003D125B"/>
    <w:rsid w:val="003D286B"/>
    <w:rsid w:val="003D2D80"/>
    <w:rsid w:val="003D39D6"/>
    <w:rsid w:val="003D3AFF"/>
    <w:rsid w:val="003E28FF"/>
    <w:rsid w:val="003E5FB7"/>
    <w:rsid w:val="003E6563"/>
    <w:rsid w:val="003E6F66"/>
    <w:rsid w:val="003F475D"/>
    <w:rsid w:val="003F5585"/>
    <w:rsid w:val="003F6948"/>
    <w:rsid w:val="003F6C4E"/>
    <w:rsid w:val="003F718F"/>
    <w:rsid w:val="003F79DC"/>
    <w:rsid w:val="00400F02"/>
    <w:rsid w:val="00400F83"/>
    <w:rsid w:val="004015B4"/>
    <w:rsid w:val="0040302C"/>
    <w:rsid w:val="00403080"/>
    <w:rsid w:val="004030FF"/>
    <w:rsid w:val="004036C6"/>
    <w:rsid w:val="00406362"/>
    <w:rsid w:val="004107FF"/>
    <w:rsid w:val="0041167E"/>
    <w:rsid w:val="0041667A"/>
    <w:rsid w:val="00416780"/>
    <w:rsid w:val="004168AC"/>
    <w:rsid w:val="0041737F"/>
    <w:rsid w:val="00420AE6"/>
    <w:rsid w:val="00420E1D"/>
    <w:rsid w:val="004216A8"/>
    <w:rsid w:val="00422190"/>
    <w:rsid w:val="004229C5"/>
    <w:rsid w:val="00422B75"/>
    <w:rsid w:val="00422E45"/>
    <w:rsid w:val="00422F85"/>
    <w:rsid w:val="00422FAA"/>
    <w:rsid w:val="0042304A"/>
    <w:rsid w:val="0042440E"/>
    <w:rsid w:val="004270F9"/>
    <w:rsid w:val="00427D9A"/>
    <w:rsid w:val="004302BE"/>
    <w:rsid w:val="004326B1"/>
    <w:rsid w:val="00433A22"/>
    <w:rsid w:val="00433EBC"/>
    <w:rsid w:val="004348F3"/>
    <w:rsid w:val="00434A12"/>
    <w:rsid w:val="004357B4"/>
    <w:rsid w:val="004367FC"/>
    <w:rsid w:val="004370FA"/>
    <w:rsid w:val="00437883"/>
    <w:rsid w:val="00440003"/>
    <w:rsid w:val="004404FD"/>
    <w:rsid w:val="00440C6E"/>
    <w:rsid w:val="00440F77"/>
    <w:rsid w:val="00441761"/>
    <w:rsid w:val="0044182E"/>
    <w:rsid w:val="00444098"/>
    <w:rsid w:val="00445231"/>
    <w:rsid w:val="00445C7F"/>
    <w:rsid w:val="00446A70"/>
    <w:rsid w:val="0044729B"/>
    <w:rsid w:val="00447C80"/>
    <w:rsid w:val="00450A87"/>
    <w:rsid w:val="00451379"/>
    <w:rsid w:val="0045194D"/>
    <w:rsid w:val="00452AF8"/>
    <w:rsid w:val="004544C9"/>
    <w:rsid w:val="00454BB6"/>
    <w:rsid w:val="00455484"/>
    <w:rsid w:val="004558BC"/>
    <w:rsid w:val="0045632C"/>
    <w:rsid w:val="00457768"/>
    <w:rsid w:val="004603B0"/>
    <w:rsid w:val="0046130C"/>
    <w:rsid w:val="0046133B"/>
    <w:rsid w:val="00461434"/>
    <w:rsid w:val="00461F02"/>
    <w:rsid w:val="00462E39"/>
    <w:rsid w:val="0046400F"/>
    <w:rsid w:val="00465A1C"/>
    <w:rsid w:val="004677F6"/>
    <w:rsid w:val="0047090D"/>
    <w:rsid w:val="004733FE"/>
    <w:rsid w:val="004748F8"/>
    <w:rsid w:val="0047507D"/>
    <w:rsid w:val="0047638E"/>
    <w:rsid w:val="004805A0"/>
    <w:rsid w:val="00481105"/>
    <w:rsid w:val="00481A9A"/>
    <w:rsid w:val="00481F82"/>
    <w:rsid w:val="00482147"/>
    <w:rsid w:val="00482B85"/>
    <w:rsid w:val="0048419C"/>
    <w:rsid w:val="004841A8"/>
    <w:rsid w:val="00485439"/>
    <w:rsid w:val="00486301"/>
    <w:rsid w:val="00486364"/>
    <w:rsid w:val="00487B52"/>
    <w:rsid w:val="00487E2E"/>
    <w:rsid w:val="00492486"/>
    <w:rsid w:val="00492C34"/>
    <w:rsid w:val="00495ABF"/>
    <w:rsid w:val="004974D0"/>
    <w:rsid w:val="004975FE"/>
    <w:rsid w:val="004978D3"/>
    <w:rsid w:val="004A131D"/>
    <w:rsid w:val="004A134D"/>
    <w:rsid w:val="004A27AC"/>
    <w:rsid w:val="004A27DE"/>
    <w:rsid w:val="004A5E9B"/>
    <w:rsid w:val="004A63EF"/>
    <w:rsid w:val="004A6F1E"/>
    <w:rsid w:val="004A740E"/>
    <w:rsid w:val="004A786F"/>
    <w:rsid w:val="004B1627"/>
    <w:rsid w:val="004B2695"/>
    <w:rsid w:val="004B2B83"/>
    <w:rsid w:val="004B459A"/>
    <w:rsid w:val="004B5F97"/>
    <w:rsid w:val="004B6B68"/>
    <w:rsid w:val="004B6BF2"/>
    <w:rsid w:val="004B780E"/>
    <w:rsid w:val="004C4741"/>
    <w:rsid w:val="004C4919"/>
    <w:rsid w:val="004C4A34"/>
    <w:rsid w:val="004C50C5"/>
    <w:rsid w:val="004C5A7F"/>
    <w:rsid w:val="004C72EB"/>
    <w:rsid w:val="004C7743"/>
    <w:rsid w:val="004C7E27"/>
    <w:rsid w:val="004C7FF2"/>
    <w:rsid w:val="004D03E0"/>
    <w:rsid w:val="004D0418"/>
    <w:rsid w:val="004D1139"/>
    <w:rsid w:val="004D1BC1"/>
    <w:rsid w:val="004D2956"/>
    <w:rsid w:val="004D4002"/>
    <w:rsid w:val="004D42C6"/>
    <w:rsid w:val="004D4E25"/>
    <w:rsid w:val="004D51A6"/>
    <w:rsid w:val="004D646F"/>
    <w:rsid w:val="004D6514"/>
    <w:rsid w:val="004E0241"/>
    <w:rsid w:val="004E0D28"/>
    <w:rsid w:val="004E130C"/>
    <w:rsid w:val="004E294B"/>
    <w:rsid w:val="004E2BD4"/>
    <w:rsid w:val="004E4A03"/>
    <w:rsid w:val="004E5DAC"/>
    <w:rsid w:val="004E608C"/>
    <w:rsid w:val="004E761E"/>
    <w:rsid w:val="004E7AED"/>
    <w:rsid w:val="004F0356"/>
    <w:rsid w:val="004F1511"/>
    <w:rsid w:val="004F378C"/>
    <w:rsid w:val="004F41E4"/>
    <w:rsid w:val="004F5A8F"/>
    <w:rsid w:val="004F60B9"/>
    <w:rsid w:val="004F63D0"/>
    <w:rsid w:val="005003DA"/>
    <w:rsid w:val="0050069E"/>
    <w:rsid w:val="00501593"/>
    <w:rsid w:val="005018A6"/>
    <w:rsid w:val="005025F4"/>
    <w:rsid w:val="00503974"/>
    <w:rsid w:val="00504856"/>
    <w:rsid w:val="005054D4"/>
    <w:rsid w:val="0050590A"/>
    <w:rsid w:val="00505B10"/>
    <w:rsid w:val="00505DC0"/>
    <w:rsid w:val="00510023"/>
    <w:rsid w:val="005101F9"/>
    <w:rsid w:val="005137E5"/>
    <w:rsid w:val="005139CE"/>
    <w:rsid w:val="00514696"/>
    <w:rsid w:val="00514979"/>
    <w:rsid w:val="00514C2D"/>
    <w:rsid w:val="00514FFE"/>
    <w:rsid w:val="00515719"/>
    <w:rsid w:val="005203FF"/>
    <w:rsid w:val="00521764"/>
    <w:rsid w:val="00521B0E"/>
    <w:rsid w:val="00522BD9"/>
    <w:rsid w:val="005249AC"/>
    <w:rsid w:val="00525936"/>
    <w:rsid w:val="00526C30"/>
    <w:rsid w:val="00531CB1"/>
    <w:rsid w:val="0053296F"/>
    <w:rsid w:val="00532DF9"/>
    <w:rsid w:val="005338B4"/>
    <w:rsid w:val="0053399A"/>
    <w:rsid w:val="005342D3"/>
    <w:rsid w:val="00540DE9"/>
    <w:rsid w:val="005413DB"/>
    <w:rsid w:val="00542110"/>
    <w:rsid w:val="00543B29"/>
    <w:rsid w:val="00545BAF"/>
    <w:rsid w:val="00545EA6"/>
    <w:rsid w:val="00547726"/>
    <w:rsid w:val="00547BF0"/>
    <w:rsid w:val="00551103"/>
    <w:rsid w:val="005533AD"/>
    <w:rsid w:val="00553848"/>
    <w:rsid w:val="00555669"/>
    <w:rsid w:val="00556C47"/>
    <w:rsid w:val="00556CE6"/>
    <w:rsid w:val="00557B32"/>
    <w:rsid w:val="0056001D"/>
    <w:rsid w:val="005600BF"/>
    <w:rsid w:val="005610D7"/>
    <w:rsid w:val="005638EB"/>
    <w:rsid w:val="0056427C"/>
    <w:rsid w:val="0056430B"/>
    <w:rsid w:val="00565C9B"/>
    <w:rsid w:val="00571E1E"/>
    <w:rsid w:val="00571F5B"/>
    <w:rsid w:val="00581EE7"/>
    <w:rsid w:val="0058433D"/>
    <w:rsid w:val="005846E9"/>
    <w:rsid w:val="00584CB2"/>
    <w:rsid w:val="00586D56"/>
    <w:rsid w:val="00587EEF"/>
    <w:rsid w:val="005912A4"/>
    <w:rsid w:val="0059281C"/>
    <w:rsid w:val="0059396C"/>
    <w:rsid w:val="00593D8F"/>
    <w:rsid w:val="00594450"/>
    <w:rsid w:val="0059491C"/>
    <w:rsid w:val="00594B7A"/>
    <w:rsid w:val="0059526F"/>
    <w:rsid w:val="00596702"/>
    <w:rsid w:val="00597D2A"/>
    <w:rsid w:val="005A000D"/>
    <w:rsid w:val="005A0E4B"/>
    <w:rsid w:val="005A13BD"/>
    <w:rsid w:val="005A235E"/>
    <w:rsid w:val="005A2C05"/>
    <w:rsid w:val="005A3B5E"/>
    <w:rsid w:val="005A4B50"/>
    <w:rsid w:val="005A5395"/>
    <w:rsid w:val="005A62B3"/>
    <w:rsid w:val="005B0FB9"/>
    <w:rsid w:val="005B138E"/>
    <w:rsid w:val="005B1C6C"/>
    <w:rsid w:val="005B20B9"/>
    <w:rsid w:val="005B2BD4"/>
    <w:rsid w:val="005B2D8E"/>
    <w:rsid w:val="005B4005"/>
    <w:rsid w:val="005B4602"/>
    <w:rsid w:val="005B4DFB"/>
    <w:rsid w:val="005B50B3"/>
    <w:rsid w:val="005B5DF7"/>
    <w:rsid w:val="005B67A0"/>
    <w:rsid w:val="005B6C3B"/>
    <w:rsid w:val="005B79C5"/>
    <w:rsid w:val="005B7AA3"/>
    <w:rsid w:val="005C041B"/>
    <w:rsid w:val="005C1523"/>
    <w:rsid w:val="005C18DB"/>
    <w:rsid w:val="005C7095"/>
    <w:rsid w:val="005C7583"/>
    <w:rsid w:val="005C7687"/>
    <w:rsid w:val="005C7F29"/>
    <w:rsid w:val="005D13D9"/>
    <w:rsid w:val="005D2C52"/>
    <w:rsid w:val="005D4528"/>
    <w:rsid w:val="005D4584"/>
    <w:rsid w:val="005D5020"/>
    <w:rsid w:val="005D5113"/>
    <w:rsid w:val="005D5FD7"/>
    <w:rsid w:val="005D77DA"/>
    <w:rsid w:val="005D7C78"/>
    <w:rsid w:val="005D7EE7"/>
    <w:rsid w:val="005E0144"/>
    <w:rsid w:val="005E069F"/>
    <w:rsid w:val="005E1698"/>
    <w:rsid w:val="005E1F7A"/>
    <w:rsid w:val="005E209B"/>
    <w:rsid w:val="005E300F"/>
    <w:rsid w:val="005E36B1"/>
    <w:rsid w:val="005E5F90"/>
    <w:rsid w:val="005E6767"/>
    <w:rsid w:val="005F0BD6"/>
    <w:rsid w:val="005F279C"/>
    <w:rsid w:val="005F3A31"/>
    <w:rsid w:val="005F5ABC"/>
    <w:rsid w:val="005F66AC"/>
    <w:rsid w:val="005F6FF6"/>
    <w:rsid w:val="0060094A"/>
    <w:rsid w:val="00600F74"/>
    <w:rsid w:val="006012A0"/>
    <w:rsid w:val="006027E6"/>
    <w:rsid w:val="00602937"/>
    <w:rsid w:val="006029F7"/>
    <w:rsid w:val="0060300B"/>
    <w:rsid w:val="006039D5"/>
    <w:rsid w:val="00604986"/>
    <w:rsid w:val="00606573"/>
    <w:rsid w:val="006065F3"/>
    <w:rsid w:val="006079D8"/>
    <w:rsid w:val="00610798"/>
    <w:rsid w:val="00616E8C"/>
    <w:rsid w:val="0061777A"/>
    <w:rsid w:val="00620240"/>
    <w:rsid w:val="0062060D"/>
    <w:rsid w:val="00620672"/>
    <w:rsid w:val="00620EE0"/>
    <w:rsid w:val="006216D0"/>
    <w:rsid w:val="00621C0D"/>
    <w:rsid w:val="006227CD"/>
    <w:rsid w:val="00622A88"/>
    <w:rsid w:val="00622BD7"/>
    <w:rsid w:val="0062333B"/>
    <w:rsid w:val="00623903"/>
    <w:rsid w:val="006260FA"/>
    <w:rsid w:val="00627226"/>
    <w:rsid w:val="00627F97"/>
    <w:rsid w:val="00630397"/>
    <w:rsid w:val="0063113D"/>
    <w:rsid w:val="00631350"/>
    <w:rsid w:val="006342E0"/>
    <w:rsid w:val="006344C6"/>
    <w:rsid w:val="006354CE"/>
    <w:rsid w:val="006362E3"/>
    <w:rsid w:val="006365C0"/>
    <w:rsid w:val="00636D50"/>
    <w:rsid w:val="006373E2"/>
    <w:rsid w:val="006377B7"/>
    <w:rsid w:val="00642C26"/>
    <w:rsid w:val="00644E94"/>
    <w:rsid w:val="0064607E"/>
    <w:rsid w:val="00646E31"/>
    <w:rsid w:val="00650085"/>
    <w:rsid w:val="00650CB9"/>
    <w:rsid w:val="00651E43"/>
    <w:rsid w:val="006552A3"/>
    <w:rsid w:val="00660810"/>
    <w:rsid w:val="0066173B"/>
    <w:rsid w:val="006630B7"/>
    <w:rsid w:val="00663596"/>
    <w:rsid w:val="00665245"/>
    <w:rsid w:val="0066670B"/>
    <w:rsid w:val="006672C4"/>
    <w:rsid w:val="00670A13"/>
    <w:rsid w:val="0067103B"/>
    <w:rsid w:val="006710BE"/>
    <w:rsid w:val="00671114"/>
    <w:rsid w:val="00672297"/>
    <w:rsid w:val="006752FE"/>
    <w:rsid w:val="00675666"/>
    <w:rsid w:val="0067618A"/>
    <w:rsid w:val="006771EB"/>
    <w:rsid w:val="00680811"/>
    <w:rsid w:val="006815DC"/>
    <w:rsid w:val="00682694"/>
    <w:rsid w:val="006835F1"/>
    <w:rsid w:val="0068373C"/>
    <w:rsid w:val="0068485E"/>
    <w:rsid w:val="00684F00"/>
    <w:rsid w:val="00685557"/>
    <w:rsid w:val="00686A07"/>
    <w:rsid w:val="006870C7"/>
    <w:rsid w:val="00687885"/>
    <w:rsid w:val="00690832"/>
    <w:rsid w:val="0069118A"/>
    <w:rsid w:val="00692B15"/>
    <w:rsid w:val="0069472D"/>
    <w:rsid w:val="00695357"/>
    <w:rsid w:val="0069535B"/>
    <w:rsid w:val="0069595D"/>
    <w:rsid w:val="0069683A"/>
    <w:rsid w:val="00697022"/>
    <w:rsid w:val="00697100"/>
    <w:rsid w:val="006A0EE5"/>
    <w:rsid w:val="006A21D0"/>
    <w:rsid w:val="006A5358"/>
    <w:rsid w:val="006A768F"/>
    <w:rsid w:val="006A788F"/>
    <w:rsid w:val="006B0666"/>
    <w:rsid w:val="006B0B97"/>
    <w:rsid w:val="006B195F"/>
    <w:rsid w:val="006B1BCE"/>
    <w:rsid w:val="006B2F42"/>
    <w:rsid w:val="006B3768"/>
    <w:rsid w:val="006B4D7F"/>
    <w:rsid w:val="006B50F9"/>
    <w:rsid w:val="006B5516"/>
    <w:rsid w:val="006B59DD"/>
    <w:rsid w:val="006B5CC1"/>
    <w:rsid w:val="006B5ED1"/>
    <w:rsid w:val="006B64A8"/>
    <w:rsid w:val="006B6C95"/>
    <w:rsid w:val="006B6F28"/>
    <w:rsid w:val="006C0579"/>
    <w:rsid w:val="006C13FB"/>
    <w:rsid w:val="006C4BF2"/>
    <w:rsid w:val="006C4CA3"/>
    <w:rsid w:val="006C674C"/>
    <w:rsid w:val="006C68CE"/>
    <w:rsid w:val="006D0C87"/>
    <w:rsid w:val="006D13E7"/>
    <w:rsid w:val="006D14AE"/>
    <w:rsid w:val="006D18AC"/>
    <w:rsid w:val="006D2A6E"/>
    <w:rsid w:val="006D2B37"/>
    <w:rsid w:val="006D3AA4"/>
    <w:rsid w:val="006D446F"/>
    <w:rsid w:val="006D4899"/>
    <w:rsid w:val="006D52FB"/>
    <w:rsid w:val="006D74CD"/>
    <w:rsid w:val="006D7B08"/>
    <w:rsid w:val="006D7BAC"/>
    <w:rsid w:val="006E168E"/>
    <w:rsid w:val="006E1869"/>
    <w:rsid w:val="006E199E"/>
    <w:rsid w:val="006E376E"/>
    <w:rsid w:val="006E463A"/>
    <w:rsid w:val="006E5717"/>
    <w:rsid w:val="006E578D"/>
    <w:rsid w:val="006E5F13"/>
    <w:rsid w:val="006E7C17"/>
    <w:rsid w:val="006E7DD8"/>
    <w:rsid w:val="006F03E1"/>
    <w:rsid w:val="006F0BD9"/>
    <w:rsid w:val="006F155E"/>
    <w:rsid w:val="006F1D10"/>
    <w:rsid w:val="006F1E1C"/>
    <w:rsid w:val="006F4432"/>
    <w:rsid w:val="006F498C"/>
    <w:rsid w:val="006F744D"/>
    <w:rsid w:val="006F79C1"/>
    <w:rsid w:val="007003C8"/>
    <w:rsid w:val="007004FB"/>
    <w:rsid w:val="007013EE"/>
    <w:rsid w:val="00701408"/>
    <w:rsid w:val="00702968"/>
    <w:rsid w:val="0070368E"/>
    <w:rsid w:val="0070438D"/>
    <w:rsid w:val="00704E70"/>
    <w:rsid w:val="00705533"/>
    <w:rsid w:val="00706B40"/>
    <w:rsid w:val="0070780D"/>
    <w:rsid w:val="00710124"/>
    <w:rsid w:val="00710A24"/>
    <w:rsid w:val="00711772"/>
    <w:rsid w:val="00713894"/>
    <w:rsid w:val="00713B9F"/>
    <w:rsid w:val="00713F11"/>
    <w:rsid w:val="00715133"/>
    <w:rsid w:val="00717FCD"/>
    <w:rsid w:val="007203E5"/>
    <w:rsid w:val="0072090C"/>
    <w:rsid w:val="00720F88"/>
    <w:rsid w:val="00721A2E"/>
    <w:rsid w:val="0072278C"/>
    <w:rsid w:val="00723CE4"/>
    <w:rsid w:val="00723FF7"/>
    <w:rsid w:val="007242F7"/>
    <w:rsid w:val="00730EC5"/>
    <w:rsid w:val="007326B1"/>
    <w:rsid w:val="00732737"/>
    <w:rsid w:val="00732E30"/>
    <w:rsid w:val="0073395F"/>
    <w:rsid w:val="00733B79"/>
    <w:rsid w:val="0073514A"/>
    <w:rsid w:val="00735459"/>
    <w:rsid w:val="00740616"/>
    <w:rsid w:val="00741FCB"/>
    <w:rsid w:val="00741FE0"/>
    <w:rsid w:val="007446AE"/>
    <w:rsid w:val="00745AB9"/>
    <w:rsid w:val="00745D9A"/>
    <w:rsid w:val="00747EC4"/>
    <w:rsid w:val="0075047C"/>
    <w:rsid w:val="007506A1"/>
    <w:rsid w:val="0075239C"/>
    <w:rsid w:val="007524E9"/>
    <w:rsid w:val="00753C73"/>
    <w:rsid w:val="00754989"/>
    <w:rsid w:val="00754B16"/>
    <w:rsid w:val="00755444"/>
    <w:rsid w:val="00760908"/>
    <w:rsid w:val="00760C48"/>
    <w:rsid w:val="00761EA5"/>
    <w:rsid w:val="00762228"/>
    <w:rsid w:val="007624D3"/>
    <w:rsid w:val="0076268F"/>
    <w:rsid w:val="00763D54"/>
    <w:rsid w:val="00764CD2"/>
    <w:rsid w:val="007664E0"/>
    <w:rsid w:val="00766600"/>
    <w:rsid w:val="00766741"/>
    <w:rsid w:val="00767ECE"/>
    <w:rsid w:val="00772134"/>
    <w:rsid w:val="0077251A"/>
    <w:rsid w:val="00772758"/>
    <w:rsid w:val="007727E4"/>
    <w:rsid w:val="00772B23"/>
    <w:rsid w:val="00772E9D"/>
    <w:rsid w:val="00773A6C"/>
    <w:rsid w:val="007750D6"/>
    <w:rsid w:val="007813A6"/>
    <w:rsid w:val="00781F92"/>
    <w:rsid w:val="0078213F"/>
    <w:rsid w:val="0078272A"/>
    <w:rsid w:val="00782C33"/>
    <w:rsid w:val="007849AB"/>
    <w:rsid w:val="00785B9E"/>
    <w:rsid w:val="00785C75"/>
    <w:rsid w:val="00785D5C"/>
    <w:rsid w:val="00786A3D"/>
    <w:rsid w:val="00787420"/>
    <w:rsid w:val="007902F1"/>
    <w:rsid w:val="0079030B"/>
    <w:rsid w:val="00791B45"/>
    <w:rsid w:val="00791D1E"/>
    <w:rsid w:val="007924F3"/>
    <w:rsid w:val="00792DD9"/>
    <w:rsid w:val="00792E29"/>
    <w:rsid w:val="00793B99"/>
    <w:rsid w:val="00794807"/>
    <w:rsid w:val="00794C66"/>
    <w:rsid w:val="00794ECB"/>
    <w:rsid w:val="00795A1C"/>
    <w:rsid w:val="00797D04"/>
    <w:rsid w:val="007A011B"/>
    <w:rsid w:val="007A0782"/>
    <w:rsid w:val="007A0A9E"/>
    <w:rsid w:val="007A1AB9"/>
    <w:rsid w:val="007A3D23"/>
    <w:rsid w:val="007A41A1"/>
    <w:rsid w:val="007A5AF9"/>
    <w:rsid w:val="007A67D0"/>
    <w:rsid w:val="007A7A88"/>
    <w:rsid w:val="007A7F65"/>
    <w:rsid w:val="007B0313"/>
    <w:rsid w:val="007B07F2"/>
    <w:rsid w:val="007B3858"/>
    <w:rsid w:val="007B41E6"/>
    <w:rsid w:val="007B554F"/>
    <w:rsid w:val="007B6E4D"/>
    <w:rsid w:val="007B7F22"/>
    <w:rsid w:val="007C048A"/>
    <w:rsid w:val="007C19A8"/>
    <w:rsid w:val="007C21B7"/>
    <w:rsid w:val="007C3BA2"/>
    <w:rsid w:val="007C43C9"/>
    <w:rsid w:val="007C4D73"/>
    <w:rsid w:val="007C56B8"/>
    <w:rsid w:val="007C6877"/>
    <w:rsid w:val="007D2155"/>
    <w:rsid w:val="007D5326"/>
    <w:rsid w:val="007D5461"/>
    <w:rsid w:val="007D6186"/>
    <w:rsid w:val="007D67D4"/>
    <w:rsid w:val="007D6BB3"/>
    <w:rsid w:val="007E08DC"/>
    <w:rsid w:val="007E0AA4"/>
    <w:rsid w:val="007E39AA"/>
    <w:rsid w:val="007E3AF5"/>
    <w:rsid w:val="007E407C"/>
    <w:rsid w:val="007E4C38"/>
    <w:rsid w:val="007E59D2"/>
    <w:rsid w:val="007E633B"/>
    <w:rsid w:val="007E6414"/>
    <w:rsid w:val="007F0075"/>
    <w:rsid w:val="007F1E89"/>
    <w:rsid w:val="007F213F"/>
    <w:rsid w:val="007F3B9C"/>
    <w:rsid w:val="007F5496"/>
    <w:rsid w:val="007F576F"/>
    <w:rsid w:val="007F57C2"/>
    <w:rsid w:val="007F580C"/>
    <w:rsid w:val="007F5BE3"/>
    <w:rsid w:val="007F7F0B"/>
    <w:rsid w:val="0080018B"/>
    <w:rsid w:val="00801654"/>
    <w:rsid w:val="00801CE8"/>
    <w:rsid w:val="008023B6"/>
    <w:rsid w:val="00803398"/>
    <w:rsid w:val="0080371F"/>
    <w:rsid w:val="00804829"/>
    <w:rsid w:val="00804BD1"/>
    <w:rsid w:val="00804CBD"/>
    <w:rsid w:val="008056C4"/>
    <w:rsid w:val="00806B68"/>
    <w:rsid w:val="00807967"/>
    <w:rsid w:val="00807C83"/>
    <w:rsid w:val="00810984"/>
    <w:rsid w:val="00811CEE"/>
    <w:rsid w:val="008125D3"/>
    <w:rsid w:val="00813317"/>
    <w:rsid w:val="00813D61"/>
    <w:rsid w:val="00814B55"/>
    <w:rsid w:val="008160A0"/>
    <w:rsid w:val="00821253"/>
    <w:rsid w:val="00821791"/>
    <w:rsid w:val="00822E44"/>
    <w:rsid w:val="00824E8D"/>
    <w:rsid w:val="00824FF6"/>
    <w:rsid w:val="00825940"/>
    <w:rsid w:val="0082714D"/>
    <w:rsid w:val="008278C7"/>
    <w:rsid w:val="00827BC8"/>
    <w:rsid w:val="00827C57"/>
    <w:rsid w:val="008301DE"/>
    <w:rsid w:val="00830894"/>
    <w:rsid w:val="00832E6E"/>
    <w:rsid w:val="00835032"/>
    <w:rsid w:val="00835770"/>
    <w:rsid w:val="00836959"/>
    <w:rsid w:val="00836AA2"/>
    <w:rsid w:val="0084391C"/>
    <w:rsid w:val="00843D38"/>
    <w:rsid w:val="00845032"/>
    <w:rsid w:val="00846C6E"/>
    <w:rsid w:val="00847862"/>
    <w:rsid w:val="008505F6"/>
    <w:rsid w:val="0085244E"/>
    <w:rsid w:val="008526BB"/>
    <w:rsid w:val="008531A1"/>
    <w:rsid w:val="00854AA0"/>
    <w:rsid w:val="0085674D"/>
    <w:rsid w:val="00857F0A"/>
    <w:rsid w:val="00860CB4"/>
    <w:rsid w:val="00860E30"/>
    <w:rsid w:val="008646A9"/>
    <w:rsid w:val="0086585F"/>
    <w:rsid w:val="00865C61"/>
    <w:rsid w:val="00866E4A"/>
    <w:rsid w:val="00867854"/>
    <w:rsid w:val="00870216"/>
    <w:rsid w:val="00870FE4"/>
    <w:rsid w:val="00871281"/>
    <w:rsid w:val="00871377"/>
    <w:rsid w:val="00871DBC"/>
    <w:rsid w:val="00872D46"/>
    <w:rsid w:val="00874481"/>
    <w:rsid w:val="008748E3"/>
    <w:rsid w:val="00875417"/>
    <w:rsid w:val="00876D86"/>
    <w:rsid w:val="00877A40"/>
    <w:rsid w:val="00880FB7"/>
    <w:rsid w:val="0088222F"/>
    <w:rsid w:val="008835E9"/>
    <w:rsid w:val="00883937"/>
    <w:rsid w:val="0088402B"/>
    <w:rsid w:val="008845F7"/>
    <w:rsid w:val="00885FC9"/>
    <w:rsid w:val="0088639A"/>
    <w:rsid w:val="00886470"/>
    <w:rsid w:val="008866E0"/>
    <w:rsid w:val="0088772E"/>
    <w:rsid w:val="008901C3"/>
    <w:rsid w:val="00890851"/>
    <w:rsid w:val="00890C9B"/>
    <w:rsid w:val="00892252"/>
    <w:rsid w:val="00893205"/>
    <w:rsid w:val="00894F32"/>
    <w:rsid w:val="00897339"/>
    <w:rsid w:val="008A060E"/>
    <w:rsid w:val="008A10EB"/>
    <w:rsid w:val="008A12A2"/>
    <w:rsid w:val="008A1AB2"/>
    <w:rsid w:val="008A1B44"/>
    <w:rsid w:val="008A2369"/>
    <w:rsid w:val="008A23C7"/>
    <w:rsid w:val="008A3F2E"/>
    <w:rsid w:val="008A4E76"/>
    <w:rsid w:val="008A5DB7"/>
    <w:rsid w:val="008A62BE"/>
    <w:rsid w:val="008A7508"/>
    <w:rsid w:val="008B0AEF"/>
    <w:rsid w:val="008B3870"/>
    <w:rsid w:val="008B3F40"/>
    <w:rsid w:val="008B65AA"/>
    <w:rsid w:val="008C093C"/>
    <w:rsid w:val="008C0AC5"/>
    <w:rsid w:val="008C0D5B"/>
    <w:rsid w:val="008C5D75"/>
    <w:rsid w:val="008C7A23"/>
    <w:rsid w:val="008C7DC8"/>
    <w:rsid w:val="008D1372"/>
    <w:rsid w:val="008D2019"/>
    <w:rsid w:val="008D24FC"/>
    <w:rsid w:val="008D53E9"/>
    <w:rsid w:val="008D7D0B"/>
    <w:rsid w:val="008E1A3C"/>
    <w:rsid w:val="008E1AD1"/>
    <w:rsid w:val="008E2866"/>
    <w:rsid w:val="008E4AE6"/>
    <w:rsid w:val="008E4F14"/>
    <w:rsid w:val="008E5E0B"/>
    <w:rsid w:val="008E6107"/>
    <w:rsid w:val="008E6310"/>
    <w:rsid w:val="008E68EB"/>
    <w:rsid w:val="008F089A"/>
    <w:rsid w:val="008F0C31"/>
    <w:rsid w:val="008F1C1D"/>
    <w:rsid w:val="008F2388"/>
    <w:rsid w:val="008F3159"/>
    <w:rsid w:val="008F50A8"/>
    <w:rsid w:val="008F62F8"/>
    <w:rsid w:val="00904C6D"/>
    <w:rsid w:val="00904EA5"/>
    <w:rsid w:val="00905046"/>
    <w:rsid w:val="00905961"/>
    <w:rsid w:val="009103B5"/>
    <w:rsid w:val="00910562"/>
    <w:rsid w:val="0091062C"/>
    <w:rsid w:val="00912280"/>
    <w:rsid w:val="00913342"/>
    <w:rsid w:val="0091480E"/>
    <w:rsid w:val="00915DBA"/>
    <w:rsid w:val="00917F60"/>
    <w:rsid w:val="009202AD"/>
    <w:rsid w:val="00920DE6"/>
    <w:rsid w:val="009219DA"/>
    <w:rsid w:val="00922E7C"/>
    <w:rsid w:val="0092485F"/>
    <w:rsid w:val="00925DB6"/>
    <w:rsid w:val="00926429"/>
    <w:rsid w:val="009274C5"/>
    <w:rsid w:val="00927C57"/>
    <w:rsid w:val="00927FA9"/>
    <w:rsid w:val="0093169B"/>
    <w:rsid w:val="00931FD1"/>
    <w:rsid w:val="0093208A"/>
    <w:rsid w:val="009325DD"/>
    <w:rsid w:val="00932920"/>
    <w:rsid w:val="00933DB1"/>
    <w:rsid w:val="00933DBE"/>
    <w:rsid w:val="009364C6"/>
    <w:rsid w:val="00936BC8"/>
    <w:rsid w:val="00937401"/>
    <w:rsid w:val="009401B4"/>
    <w:rsid w:val="0094094B"/>
    <w:rsid w:val="009409B5"/>
    <w:rsid w:val="00941CB1"/>
    <w:rsid w:val="00942EB6"/>
    <w:rsid w:val="009434E5"/>
    <w:rsid w:val="00943F4D"/>
    <w:rsid w:val="00945B3F"/>
    <w:rsid w:val="0094622F"/>
    <w:rsid w:val="00947B0E"/>
    <w:rsid w:val="00952F3B"/>
    <w:rsid w:val="00954CF5"/>
    <w:rsid w:val="00957F5F"/>
    <w:rsid w:val="00960220"/>
    <w:rsid w:val="00960AF7"/>
    <w:rsid w:val="00961ABB"/>
    <w:rsid w:val="00961F43"/>
    <w:rsid w:val="00962CB9"/>
    <w:rsid w:val="00964B00"/>
    <w:rsid w:val="00964C52"/>
    <w:rsid w:val="00965700"/>
    <w:rsid w:val="00965BEF"/>
    <w:rsid w:val="009669C7"/>
    <w:rsid w:val="00970FAD"/>
    <w:rsid w:val="00972D9C"/>
    <w:rsid w:val="00973E66"/>
    <w:rsid w:val="00974591"/>
    <w:rsid w:val="0097538C"/>
    <w:rsid w:val="00975CDF"/>
    <w:rsid w:val="009774B9"/>
    <w:rsid w:val="009801B8"/>
    <w:rsid w:val="00980AAB"/>
    <w:rsid w:val="009815DF"/>
    <w:rsid w:val="00981FAC"/>
    <w:rsid w:val="00982532"/>
    <w:rsid w:val="0098334C"/>
    <w:rsid w:val="0098458C"/>
    <w:rsid w:val="00987CCB"/>
    <w:rsid w:val="00990939"/>
    <w:rsid w:val="00990D48"/>
    <w:rsid w:val="009910C5"/>
    <w:rsid w:val="0099132D"/>
    <w:rsid w:val="00991339"/>
    <w:rsid w:val="00994072"/>
    <w:rsid w:val="00994A3A"/>
    <w:rsid w:val="00994D7A"/>
    <w:rsid w:val="00994F64"/>
    <w:rsid w:val="00995061"/>
    <w:rsid w:val="00995D29"/>
    <w:rsid w:val="00997368"/>
    <w:rsid w:val="0099772F"/>
    <w:rsid w:val="00997AFE"/>
    <w:rsid w:val="00997ECE"/>
    <w:rsid w:val="009A00CA"/>
    <w:rsid w:val="009A15A2"/>
    <w:rsid w:val="009A24AB"/>
    <w:rsid w:val="009A3E14"/>
    <w:rsid w:val="009A49E3"/>
    <w:rsid w:val="009A4EA1"/>
    <w:rsid w:val="009A4EB4"/>
    <w:rsid w:val="009A5ECF"/>
    <w:rsid w:val="009A69FB"/>
    <w:rsid w:val="009A72F7"/>
    <w:rsid w:val="009A7BD7"/>
    <w:rsid w:val="009B0FB5"/>
    <w:rsid w:val="009B15D2"/>
    <w:rsid w:val="009B17BC"/>
    <w:rsid w:val="009B1B76"/>
    <w:rsid w:val="009B1DA1"/>
    <w:rsid w:val="009B3912"/>
    <w:rsid w:val="009B3F3D"/>
    <w:rsid w:val="009B4D4C"/>
    <w:rsid w:val="009B5E6E"/>
    <w:rsid w:val="009B5FFB"/>
    <w:rsid w:val="009B7353"/>
    <w:rsid w:val="009B7C80"/>
    <w:rsid w:val="009B7D7C"/>
    <w:rsid w:val="009C167B"/>
    <w:rsid w:val="009C2D9D"/>
    <w:rsid w:val="009C2DDC"/>
    <w:rsid w:val="009C3A8F"/>
    <w:rsid w:val="009C4DB5"/>
    <w:rsid w:val="009C76F4"/>
    <w:rsid w:val="009C791E"/>
    <w:rsid w:val="009C7DF1"/>
    <w:rsid w:val="009D0E99"/>
    <w:rsid w:val="009D2058"/>
    <w:rsid w:val="009D47C5"/>
    <w:rsid w:val="009D53E2"/>
    <w:rsid w:val="009D6EC5"/>
    <w:rsid w:val="009E225B"/>
    <w:rsid w:val="009E3F07"/>
    <w:rsid w:val="009E4054"/>
    <w:rsid w:val="009E417D"/>
    <w:rsid w:val="009E452D"/>
    <w:rsid w:val="009E4B28"/>
    <w:rsid w:val="009E79A3"/>
    <w:rsid w:val="009F0756"/>
    <w:rsid w:val="009F1293"/>
    <w:rsid w:val="009F1E13"/>
    <w:rsid w:val="009F20C7"/>
    <w:rsid w:val="009F2B8C"/>
    <w:rsid w:val="009F4178"/>
    <w:rsid w:val="009F58A0"/>
    <w:rsid w:val="009F5D71"/>
    <w:rsid w:val="009F62F5"/>
    <w:rsid w:val="009F65D6"/>
    <w:rsid w:val="009F77C5"/>
    <w:rsid w:val="00A007D1"/>
    <w:rsid w:val="00A0112C"/>
    <w:rsid w:val="00A01442"/>
    <w:rsid w:val="00A01D9A"/>
    <w:rsid w:val="00A022CE"/>
    <w:rsid w:val="00A0277C"/>
    <w:rsid w:val="00A0332F"/>
    <w:rsid w:val="00A04192"/>
    <w:rsid w:val="00A04B71"/>
    <w:rsid w:val="00A0641A"/>
    <w:rsid w:val="00A06EC5"/>
    <w:rsid w:val="00A07019"/>
    <w:rsid w:val="00A072A2"/>
    <w:rsid w:val="00A079AF"/>
    <w:rsid w:val="00A1264B"/>
    <w:rsid w:val="00A13803"/>
    <w:rsid w:val="00A13E20"/>
    <w:rsid w:val="00A141E0"/>
    <w:rsid w:val="00A1468D"/>
    <w:rsid w:val="00A14C62"/>
    <w:rsid w:val="00A17A52"/>
    <w:rsid w:val="00A2001F"/>
    <w:rsid w:val="00A2014C"/>
    <w:rsid w:val="00A20CDF"/>
    <w:rsid w:val="00A213C0"/>
    <w:rsid w:val="00A21D08"/>
    <w:rsid w:val="00A22860"/>
    <w:rsid w:val="00A23383"/>
    <w:rsid w:val="00A2496D"/>
    <w:rsid w:val="00A25426"/>
    <w:rsid w:val="00A254A3"/>
    <w:rsid w:val="00A25554"/>
    <w:rsid w:val="00A259D8"/>
    <w:rsid w:val="00A26421"/>
    <w:rsid w:val="00A26457"/>
    <w:rsid w:val="00A26A12"/>
    <w:rsid w:val="00A30C7B"/>
    <w:rsid w:val="00A31173"/>
    <w:rsid w:val="00A32CBA"/>
    <w:rsid w:val="00A33FA2"/>
    <w:rsid w:val="00A33FCE"/>
    <w:rsid w:val="00A349FA"/>
    <w:rsid w:val="00A34B64"/>
    <w:rsid w:val="00A34B93"/>
    <w:rsid w:val="00A3545C"/>
    <w:rsid w:val="00A367BC"/>
    <w:rsid w:val="00A36E52"/>
    <w:rsid w:val="00A3719C"/>
    <w:rsid w:val="00A37B69"/>
    <w:rsid w:val="00A40558"/>
    <w:rsid w:val="00A40715"/>
    <w:rsid w:val="00A40964"/>
    <w:rsid w:val="00A412BA"/>
    <w:rsid w:val="00A4193F"/>
    <w:rsid w:val="00A42D79"/>
    <w:rsid w:val="00A433ED"/>
    <w:rsid w:val="00A43805"/>
    <w:rsid w:val="00A43EBB"/>
    <w:rsid w:val="00A43EE4"/>
    <w:rsid w:val="00A44480"/>
    <w:rsid w:val="00A44A69"/>
    <w:rsid w:val="00A44EE7"/>
    <w:rsid w:val="00A47685"/>
    <w:rsid w:val="00A47C85"/>
    <w:rsid w:val="00A51035"/>
    <w:rsid w:val="00A511C8"/>
    <w:rsid w:val="00A5134D"/>
    <w:rsid w:val="00A51AA9"/>
    <w:rsid w:val="00A52BC8"/>
    <w:rsid w:val="00A5359C"/>
    <w:rsid w:val="00A54B7F"/>
    <w:rsid w:val="00A54E1C"/>
    <w:rsid w:val="00A56938"/>
    <w:rsid w:val="00A60B3B"/>
    <w:rsid w:val="00A61007"/>
    <w:rsid w:val="00A61201"/>
    <w:rsid w:val="00A61A22"/>
    <w:rsid w:val="00A62DAE"/>
    <w:rsid w:val="00A64173"/>
    <w:rsid w:val="00A645A8"/>
    <w:rsid w:val="00A6569D"/>
    <w:rsid w:val="00A67D6A"/>
    <w:rsid w:val="00A70FA8"/>
    <w:rsid w:val="00A72AA8"/>
    <w:rsid w:val="00A74146"/>
    <w:rsid w:val="00A74218"/>
    <w:rsid w:val="00A74C40"/>
    <w:rsid w:val="00A75337"/>
    <w:rsid w:val="00A7563F"/>
    <w:rsid w:val="00A7698B"/>
    <w:rsid w:val="00A769ED"/>
    <w:rsid w:val="00A76B48"/>
    <w:rsid w:val="00A775C7"/>
    <w:rsid w:val="00A7766A"/>
    <w:rsid w:val="00A80037"/>
    <w:rsid w:val="00A80B9F"/>
    <w:rsid w:val="00A821EE"/>
    <w:rsid w:val="00A82B64"/>
    <w:rsid w:val="00A82B8C"/>
    <w:rsid w:val="00A83B09"/>
    <w:rsid w:val="00A83DBE"/>
    <w:rsid w:val="00A8455A"/>
    <w:rsid w:val="00A854F1"/>
    <w:rsid w:val="00A86295"/>
    <w:rsid w:val="00A904CF"/>
    <w:rsid w:val="00A908BC"/>
    <w:rsid w:val="00A913E0"/>
    <w:rsid w:val="00A92E21"/>
    <w:rsid w:val="00A93077"/>
    <w:rsid w:val="00A93258"/>
    <w:rsid w:val="00A941FB"/>
    <w:rsid w:val="00A95732"/>
    <w:rsid w:val="00A96BCF"/>
    <w:rsid w:val="00AA1AC8"/>
    <w:rsid w:val="00AA3E08"/>
    <w:rsid w:val="00AA4321"/>
    <w:rsid w:val="00AA5BA8"/>
    <w:rsid w:val="00AA5DAE"/>
    <w:rsid w:val="00AA5F73"/>
    <w:rsid w:val="00AA6572"/>
    <w:rsid w:val="00AA688F"/>
    <w:rsid w:val="00AB1EF8"/>
    <w:rsid w:val="00AB28FD"/>
    <w:rsid w:val="00AB695B"/>
    <w:rsid w:val="00AB7D83"/>
    <w:rsid w:val="00AC11D1"/>
    <w:rsid w:val="00AC17B0"/>
    <w:rsid w:val="00AC2DA5"/>
    <w:rsid w:val="00AC5661"/>
    <w:rsid w:val="00AC658E"/>
    <w:rsid w:val="00AD0118"/>
    <w:rsid w:val="00AD087B"/>
    <w:rsid w:val="00AD0DCB"/>
    <w:rsid w:val="00AD1196"/>
    <w:rsid w:val="00AD13F2"/>
    <w:rsid w:val="00AD156E"/>
    <w:rsid w:val="00AD23C4"/>
    <w:rsid w:val="00AD2579"/>
    <w:rsid w:val="00AD2ED9"/>
    <w:rsid w:val="00AD4E9D"/>
    <w:rsid w:val="00AD5236"/>
    <w:rsid w:val="00AD5351"/>
    <w:rsid w:val="00AD6EC4"/>
    <w:rsid w:val="00AE09B4"/>
    <w:rsid w:val="00AE16C2"/>
    <w:rsid w:val="00AE1C18"/>
    <w:rsid w:val="00AE2F5D"/>
    <w:rsid w:val="00AE4CAE"/>
    <w:rsid w:val="00AE50BB"/>
    <w:rsid w:val="00AE6CD4"/>
    <w:rsid w:val="00AE7069"/>
    <w:rsid w:val="00AE7804"/>
    <w:rsid w:val="00AF0584"/>
    <w:rsid w:val="00AF10CA"/>
    <w:rsid w:val="00AF29B4"/>
    <w:rsid w:val="00AF3A4E"/>
    <w:rsid w:val="00AF4D04"/>
    <w:rsid w:val="00AF57B9"/>
    <w:rsid w:val="00AF6984"/>
    <w:rsid w:val="00AF7282"/>
    <w:rsid w:val="00AF7342"/>
    <w:rsid w:val="00AF7452"/>
    <w:rsid w:val="00AF7958"/>
    <w:rsid w:val="00AF7AA3"/>
    <w:rsid w:val="00B00383"/>
    <w:rsid w:val="00B00EE1"/>
    <w:rsid w:val="00B00F16"/>
    <w:rsid w:val="00B01A12"/>
    <w:rsid w:val="00B021FE"/>
    <w:rsid w:val="00B03815"/>
    <w:rsid w:val="00B03DA2"/>
    <w:rsid w:val="00B05A67"/>
    <w:rsid w:val="00B05D6B"/>
    <w:rsid w:val="00B104E1"/>
    <w:rsid w:val="00B13600"/>
    <w:rsid w:val="00B144EC"/>
    <w:rsid w:val="00B15ACA"/>
    <w:rsid w:val="00B16FFA"/>
    <w:rsid w:val="00B210FC"/>
    <w:rsid w:val="00B2289E"/>
    <w:rsid w:val="00B22FC0"/>
    <w:rsid w:val="00B2312F"/>
    <w:rsid w:val="00B248E9"/>
    <w:rsid w:val="00B27B5C"/>
    <w:rsid w:val="00B30735"/>
    <w:rsid w:val="00B31618"/>
    <w:rsid w:val="00B32CAA"/>
    <w:rsid w:val="00B33044"/>
    <w:rsid w:val="00B34898"/>
    <w:rsid w:val="00B34B1C"/>
    <w:rsid w:val="00B34B37"/>
    <w:rsid w:val="00B34BD0"/>
    <w:rsid w:val="00B35C0B"/>
    <w:rsid w:val="00B361A4"/>
    <w:rsid w:val="00B364A1"/>
    <w:rsid w:val="00B366C9"/>
    <w:rsid w:val="00B36C90"/>
    <w:rsid w:val="00B40739"/>
    <w:rsid w:val="00B40A5A"/>
    <w:rsid w:val="00B410D0"/>
    <w:rsid w:val="00B418F1"/>
    <w:rsid w:val="00B4219E"/>
    <w:rsid w:val="00B42D59"/>
    <w:rsid w:val="00B444C9"/>
    <w:rsid w:val="00B446C5"/>
    <w:rsid w:val="00B454AE"/>
    <w:rsid w:val="00B45FDC"/>
    <w:rsid w:val="00B464EB"/>
    <w:rsid w:val="00B478EE"/>
    <w:rsid w:val="00B5084E"/>
    <w:rsid w:val="00B52662"/>
    <w:rsid w:val="00B54374"/>
    <w:rsid w:val="00B54D76"/>
    <w:rsid w:val="00B55332"/>
    <w:rsid w:val="00B56ECD"/>
    <w:rsid w:val="00B57727"/>
    <w:rsid w:val="00B57789"/>
    <w:rsid w:val="00B57968"/>
    <w:rsid w:val="00B606B7"/>
    <w:rsid w:val="00B63728"/>
    <w:rsid w:val="00B6381C"/>
    <w:rsid w:val="00B65DA8"/>
    <w:rsid w:val="00B6609F"/>
    <w:rsid w:val="00B678C2"/>
    <w:rsid w:val="00B67CC2"/>
    <w:rsid w:val="00B70936"/>
    <w:rsid w:val="00B71F8B"/>
    <w:rsid w:val="00B727F0"/>
    <w:rsid w:val="00B730DC"/>
    <w:rsid w:val="00B73B56"/>
    <w:rsid w:val="00B75681"/>
    <w:rsid w:val="00B774A8"/>
    <w:rsid w:val="00B77993"/>
    <w:rsid w:val="00B80A4C"/>
    <w:rsid w:val="00B8162A"/>
    <w:rsid w:val="00B82307"/>
    <w:rsid w:val="00B82358"/>
    <w:rsid w:val="00B853C4"/>
    <w:rsid w:val="00B8544B"/>
    <w:rsid w:val="00B85DF2"/>
    <w:rsid w:val="00B86551"/>
    <w:rsid w:val="00B9011C"/>
    <w:rsid w:val="00B90D2E"/>
    <w:rsid w:val="00B91914"/>
    <w:rsid w:val="00B919B7"/>
    <w:rsid w:val="00B91F0A"/>
    <w:rsid w:val="00B92BFF"/>
    <w:rsid w:val="00B93F9E"/>
    <w:rsid w:val="00B95F31"/>
    <w:rsid w:val="00BA5FA9"/>
    <w:rsid w:val="00BB0536"/>
    <w:rsid w:val="00BB081D"/>
    <w:rsid w:val="00BB259E"/>
    <w:rsid w:val="00BB28C3"/>
    <w:rsid w:val="00BB2F70"/>
    <w:rsid w:val="00BB37A0"/>
    <w:rsid w:val="00BB37FF"/>
    <w:rsid w:val="00BB3875"/>
    <w:rsid w:val="00BB3B1F"/>
    <w:rsid w:val="00BB3DCA"/>
    <w:rsid w:val="00BB435E"/>
    <w:rsid w:val="00BB4387"/>
    <w:rsid w:val="00BB49B9"/>
    <w:rsid w:val="00BB594E"/>
    <w:rsid w:val="00BB5957"/>
    <w:rsid w:val="00BB6A24"/>
    <w:rsid w:val="00BB6B4F"/>
    <w:rsid w:val="00BB6F34"/>
    <w:rsid w:val="00BB76CC"/>
    <w:rsid w:val="00BC010B"/>
    <w:rsid w:val="00BC0299"/>
    <w:rsid w:val="00BC039D"/>
    <w:rsid w:val="00BC12D5"/>
    <w:rsid w:val="00BC3095"/>
    <w:rsid w:val="00BC331A"/>
    <w:rsid w:val="00BC3FA3"/>
    <w:rsid w:val="00BC6EEF"/>
    <w:rsid w:val="00BC768A"/>
    <w:rsid w:val="00BC7837"/>
    <w:rsid w:val="00BD1826"/>
    <w:rsid w:val="00BD1B02"/>
    <w:rsid w:val="00BD2030"/>
    <w:rsid w:val="00BD53B7"/>
    <w:rsid w:val="00BD5DCA"/>
    <w:rsid w:val="00BD6213"/>
    <w:rsid w:val="00BE1C34"/>
    <w:rsid w:val="00BE1F27"/>
    <w:rsid w:val="00BE2EF5"/>
    <w:rsid w:val="00BE54F0"/>
    <w:rsid w:val="00BE5C9E"/>
    <w:rsid w:val="00BE704E"/>
    <w:rsid w:val="00BF0987"/>
    <w:rsid w:val="00BF1369"/>
    <w:rsid w:val="00BF20D0"/>
    <w:rsid w:val="00BF50E7"/>
    <w:rsid w:val="00BF56BD"/>
    <w:rsid w:val="00BF68E6"/>
    <w:rsid w:val="00BF6A04"/>
    <w:rsid w:val="00BF6F5F"/>
    <w:rsid w:val="00C003AA"/>
    <w:rsid w:val="00C00B15"/>
    <w:rsid w:val="00C04B2F"/>
    <w:rsid w:val="00C04FA0"/>
    <w:rsid w:val="00C06A22"/>
    <w:rsid w:val="00C0702A"/>
    <w:rsid w:val="00C104AD"/>
    <w:rsid w:val="00C10732"/>
    <w:rsid w:val="00C13298"/>
    <w:rsid w:val="00C16CD2"/>
    <w:rsid w:val="00C2249F"/>
    <w:rsid w:val="00C251A9"/>
    <w:rsid w:val="00C25DD8"/>
    <w:rsid w:val="00C3147C"/>
    <w:rsid w:val="00C31F49"/>
    <w:rsid w:val="00C32BA0"/>
    <w:rsid w:val="00C3357B"/>
    <w:rsid w:val="00C35A71"/>
    <w:rsid w:val="00C35AAB"/>
    <w:rsid w:val="00C362D3"/>
    <w:rsid w:val="00C406C7"/>
    <w:rsid w:val="00C40C0E"/>
    <w:rsid w:val="00C42582"/>
    <w:rsid w:val="00C43006"/>
    <w:rsid w:val="00C45A71"/>
    <w:rsid w:val="00C46447"/>
    <w:rsid w:val="00C46CAE"/>
    <w:rsid w:val="00C47D5A"/>
    <w:rsid w:val="00C51186"/>
    <w:rsid w:val="00C519FF"/>
    <w:rsid w:val="00C51AA0"/>
    <w:rsid w:val="00C51EE9"/>
    <w:rsid w:val="00C5211A"/>
    <w:rsid w:val="00C524EF"/>
    <w:rsid w:val="00C528EB"/>
    <w:rsid w:val="00C529B1"/>
    <w:rsid w:val="00C5324C"/>
    <w:rsid w:val="00C532D2"/>
    <w:rsid w:val="00C53552"/>
    <w:rsid w:val="00C5407F"/>
    <w:rsid w:val="00C546C6"/>
    <w:rsid w:val="00C550C8"/>
    <w:rsid w:val="00C562BF"/>
    <w:rsid w:val="00C56F6D"/>
    <w:rsid w:val="00C57CB6"/>
    <w:rsid w:val="00C60517"/>
    <w:rsid w:val="00C60577"/>
    <w:rsid w:val="00C60C5B"/>
    <w:rsid w:val="00C61F73"/>
    <w:rsid w:val="00C62AD3"/>
    <w:rsid w:val="00C645E3"/>
    <w:rsid w:val="00C64AEA"/>
    <w:rsid w:val="00C65A64"/>
    <w:rsid w:val="00C66776"/>
    <w:rsid w:val="00C67720"/>
    <w:rsid w:val="00C67779"/>
    <w:rsid w:val="00C710CA"/>
    <w:rsid w:val="00C73781"/>
    <w:rsid w:val="00C74E58"/>
    <w:rsid w:val="00C75295"/>
    <w:rsid w:val="00C756D0"/>
    <w:rsid w:val="00C77359"/>
    <w:rsid w:val="00C7764A"/>
    <w:rsid w:val="00C80A04"/>
    <w:rsid w:val="00C80DF6"/>
    <w:rsid w:val="00C81914"/>
    <w:rsid w:val="00C822BA"/>
    <w:rsid w:val="00C8238C"/>
    <w:rsid w:val="00C82DA2"/>
    <w:rsid w:val="00C85152"/>
    <w:rsid w:val="00C851CE"/>
    <w:rsid w:val="00C853FA"/>
    <w:rsid w:val="00C85617"/>
    <w:rsid w:val="00C867E7"/>
    <w:rsid w:val="00C87F78"/>
    <w:rsid w:val="00C9067D"/>
    <w:rsid w:val="00C90BC7"/>
    <w:rsid w:val="00C90D85"/>
    <w:rsid w:val="00C90FBE"/>
    <w:rsid w:val="00C93245"/>
    <w:rsid w:val="00C93F28"/>
    <w:rsid w:val="00C95FD6"/>
    <w:rsid w:val="00CA01BA"/>
    <w:rsid w:val="00CA1A8F"/>
    <w:rsid w:val="00CA1A93"/>
    <w:rsid w:val="00CA2818"/>
    <w:rsid w:val="00CA357A"/>
    <w:rsid w:val="00CA3A03"/>
    <w:rsid w:val="00CA641D"/>
    <w:rsid w:val="00CA654C"/>
    <w:rsid w:val="00CA7CEA"/>
    <w:rsid w:val="00CB0947"/>
    <w:rsid w:val="00CB0AE4"/>
    <w:rsid w:val="00CB0FCF"/>
    <w:rsid w:val="00CB107F"/>
    <w:rsid w:val="00CB1CE9"/>
    <w:rsid w:val="00CB261B"/>
    <w:rsid w:val="00CB4F71"/>
    <w:rsid w:val="00CB72DA"/>
    <w:rsid w:val="00CB7526"/>
    <w:rsid w:val="00CB75B6"/>
    <w:rsid w:val="00CC02FC"/>
    <w:rsid w:val="00CC05BB"/>
    <w:rsid w:val="00CC23CB"/>
    <w:rsid w:val="00CC30B5"/>
    <w:rsid w:val="00CC4E03"/>
    <w:rsid w:val="00CC4F24"/>
    <w:rsid w:val="00CD078F"/>
    <w:rsid w:val="00CD1FB7"/>
    <w:rsid w:val="00CD3BC3"/>
    <w:rsid w:val="00CD3EE3"/>
    <w:rsid w:val="00CD411D"/>
    <w:rsid w:val="00CD4F2F"/>
    <w:rsid w:val="00CD58D7"/>
    <w:rsid w:val="00CD664A"/>
    <w:rsid w:val="00CD6F28"/>
    <w:rsid w:val="00CE2118"/>
    <w:rsid w:val="00CE30FA"/>
    <w:rsid w:val="00CE4188"/>
    <w:rsid w:val="00CE4A33"/>
    <w:rsid w:val="00CE4B08"/>
    <w:rsid w:val="00CE5861"/>
    <w:rsid w:val="00CE5EF8"/>
    <w:rsid w:val="00CE6C8A"/>
    <w:rsid w:val="00CF01A4"/>
    <w:rsid w:val="00CF0480"/>
    <w:rsid w:val="00CF05A4"/>
    <w:rsid w:val="00CF1764"/>
    <w:rsid w:val="00CF3DCF"/>
    <w:rsid w:val="00CF4012"/>
    <w:rsid w:val="00CF4DC0"/>
    <w:rsid w:val="00CF54E1"/>
    <w:rsid w:val="00CF6ED2"/>
    <w:rsid w:val="00CF77BF"/>
    <w:rsid w:val="00D0020B"/>
    <w:rsid w:val="00D004E4"/>
    <w:rsid w:val="00D01499"/>
    <w:rsid w:val="00D02538"/>
    <w:rsid w:val="00D03095"/>
    <w:rsid w:val="00D03AE4"/>
    <w:rsid w:val="00D03FED"/>
    <w:rsid w:val="00D04750"/>
    <w:rsid w:val="00D048C3"/>
    <w:rsid w:val="00D050C7"/>
    <w:rsid w:val="00D050EA"/>
    <w:rsid w:val="00D0688E"/>
    <w:rsid w:val="00D1002B"/>
    <w:rsid w:val="00D11C52"/>
    <w:rsid w:val="00D1228B"/>
    <w:rsid w:val="00D1261B"/>
    <w:rsid w:val="00D12CE3"/>
    <w:rsid w:val="00D1507B"/>
    <w:rsid w:val="00D175BA"/>
    <w:rsid w:val="00D1787E"/>
    <w:rsid w:val="00D22FE5"/>
    <w:rsid w:val="00D23A3E"/>
    <w:rsid w:val="00D23B8F"/>
    <w:rsid w:val="00D23CAC"/>
    <w:rsid w:val="00D242A2"/>
    <w:rsid w:val="00D25F6A"/>
    <w:rsid w:val="00D301C7"/>
    <w:rsid w:val="00D309CB"/>
    <w:rsid w:val="00D30E82"/>
    <w:rsid w:val="00D3134B"/>
    <w:rsid w:val="00D33D12"/>
    <w:rsid w:val="00D34EED"/>
    <w:rsid w:val="00D36512"/>
    <w:rsid w:val="00D366F5"/>
    <w:rsid w:val="00D36BF8"/>
    <w:rsid w:val="00D36C33"/>
    <w:rsid w:val="00D36FFB"/>
    <w:rsid w:val="00D438F8"/>
    <w:rsid w:val="00D43BC8"/>
    <w:rsid w:val="00D45074"/>
    <w:rsid w:val="00D45E9D"/>
    <w:rsid w:val="00D4739C"/>
    <w:rsid w:val="00D47E1C"/>
    <w:rsid w:val="00D505E3"/>
    <w:rsid w:val="00D5090F"/>
    <w:rsid w:val="00D51CD8"/>
    <w:rsid w:val="00D5271A"/>
    <w:rsid w:val="00D5416B"/>
    <w:rsid w:val="00D55EA8"/>
    <w:rsid w:val="00D56FBC"/>
    <w:rsid w:val="00D61446"/>
    <w:rsid w:val="00D6233E"/>
    <w:rsid w:val="00D626E0"/>
    <w:rsid w:val="00D62AEA"/>
    <w:rsid w:val="00D63B81"/>
    <w:rsid w:val="00D6620E"/>
    <w:rsid w:val="00D663FA"/>
    <w:rsid w:val="00D67B31"/>
    <w:rsid w:val="00D67FE6"/>
    <w:rsid w:val="00D720BE"/>
    <w:rsid w:val="00D72299"/>
    <w:rsid w:val="00D7270E"/>
    <w:rsid w:val="00D76987"/>
    <w:rsid w:val="00D76E9F"/>
    <w:rsid w:val="00D770F2"/>
    <w:rsid w:val="00D7722E"/>
    <w:rsid w:val="00D77A87"/>
    <w:rsid w:val="00D808B2"/>
    <w:rsid w:val="00D80F71"/>
    <w:rsid w:val="00D80F90"/>
    <w:rsid w:val="00D81E03"/>
    <w:rsid w:val="00D822DA"/>
    <w:rsid w:val="00D84C37"/>
    <w:rsid w:val="00D84D43"/>
    <w:rsid w:val="00D850DA"/>
    <w:rsid w:val="00D8548D"/>
    <w:rsid w:val="00D865ED"/>
    <w:rsid w:val="00D86D66"/>
    <w:rsid w:val="00D907C5"/>
    <w:rsid w:val="00D92733"/>
    <w:rsid w:val="00D927D0"/>
    <w:rsid w:val="00D936EC"/>
    <w:rsid w:val="00D97DB7"/>
    <w:rsid w:val="00DA003B"/>
    <w:rsid w:val="00DA1184"/>
    <w:rsid w:val="00DA31B2"/>
    <w:rsid w:val="00DA3572"/>
    <w:rsid w:val="00DA36AE"/>
    <w:rsid w:val="00DA4216"/>
    <w:rsid w:val="00DA4D0E"/>
    <w:rsid w:val="00DA7C44"/>
    <w:rsid w:val="00DB0768"/>
    <w:rsid w:val="00DB28CE"/>
    <w:rsid w:val="00DB2C6E"/>
    <w:rsid w:val="00DB4652"/>
    <w:rsid w:val="00DB6AA3"/>
    <w:rsid w:val="00DB7285"/>
    <w:rsid w:val="00DB73DA"/>
    <w:rsid w:val="00DB778C"/>
    <w:rsid w:val="00DC01AA"/>
    <w:rsid w:val="00DC027E"/>
    <w:rsid w:val="00DC0355"/>
    <w:rsid w:val="00DC04D8"/>
    <w:rsid w:val="00DC1F50"/>
    <w:rsid w:val="00DC2CD3"/>
    <w:rsid w:val="00DC44E3"/>
    <w:rsid w:val="00DC4CAC"/>
    <w:rsid w:val="00DC7B56"/>
    <w:rsid w:val="00DC7FE9"/>
    <w:rsid w:val="00DD27C3"/>
    <w:rsid w:val="00DD2C75"/>
    <w:rsid w:val="00DD2D5F"/>
    <w:rsid w:val="00DD3C49"/>
    <w:rsid w:val="00DD4046"/>
    <w:rsid w:val="00DD5C6D"/>
    <w:rsid w:val="00DD5FB3"/>
    <w:rsid w:val="00DD6977"/>
    <w:rsid w:val="00DD716E"/>
    <w:rsid w:val="00DE17AC"/>
    <w:rsid w:val="00DE18AA"/>
    <w:rsid w:val="00DE1A1F"/>
    <w:rsid w:val="00DE2174"/>
    <w:rsid w:val="00DE410E"/>
    <w:rsid w:val="00DE6F52"/>
    <w:rsid w:val="00DE719B"/>
    <w:rsid w:val="00DF0900"/>
    <w:rsid w:val="00DF0BCC"/>
    <w:rsid w:val="00DF16F4"/>
    <w:rsid w:val="00DF18FE"/>
    <w:rsid w:val="00DF1911"/>
    <w:rsid w:val="00DF1919"/>
    <w:rsid w:val="00DF2980"/>
    <w:rsid w:val="00DF2C56"/>
    <w:rsid w:val="00DF32CD"/>
    <w:rsid w:val="00DF348A"/>
    <w:rsid w:val="00DF3A87"/>
    <w:rsid w:val="00E00081"/>
    <w:rsid w:val="00E0215D"/>
    <w:rsid w:val="00E02C05"/>
    <w:rsid w:val="00E02FB0"/>
    <w:rsid w:val="00E035EE"/>
    <w:rsid w:val="00E043EA"/>
    <w:rsid w:val="00E04466"/>
    <w:rsid w:val="00E04E80"/>
    <w:rsid w:val="00E057DC"/>
    <w:rsid w:val="00E06375"/>
    <w:rsid w:val="00E1131F"/>
    <w:rsid w:val="00E11FD1"/>
    <w:rsid w:val="00E1201C"/>
    <w:rsid w:val="00E129F5"/>
    <w:rsid w:val="00E1425E"/>
    <w:rsid w:val="00E15E97"/>
    <w:rsid w:val="00E161E0"/>
    <w:rsid w:val="00E167FC"/>
    <w:rsid w:val="00E16844"/>
    <w:rsid w:val="00E16A32"/>
    <w:rsid w:val="00E16BB0"/>
    <w:rsid w:val="00E202B6"/>
    <w:rsid w:val="00E21BD1"/>
    <w:rsid w:val="00E22ACC"/>
    <w:rsid w:val="00E22B30"/>
    <w:rsid w:val="00E23500"/>
    <w:rsid w:val="00E238B7"/>
    <w:rsid w:val="00E254B2"/>
    <w:rsid w:val="00E25D8F"/>
    <w:rsid w:val="00E2669B"/>
    <w:rsid w:val="00E2679B"/>
    <w:rsid w:val="00E304BD"/>
    <w:rsid w:val="00E32FAE"/>
    <w:rsid w:val="00E3317B"/>
    <w:rsid w:val="00E3499A"/>
    <w:rsid w:val="00E3567A"/>
    <w:rsid w:val="00E379AE"/>
    <w:rsid w:val="00E40203"/>
    <w:rsid w:val="00E405A7"/>
    <w:rsid w:val="00E41421"/>
    <w:rsid w:val="00E41BBA"/>
    <w:rsid w:val="00E42706"/>
    <w:rsid w:val="00E42AE6"/>
    <w:rsid w:val="00E44EEF"/>
    <w:rsid w:val="00E503A2"/>
    <w:rsid w:val="00E5090B"/>
    <w:rsid w:val="00E50B73"/>
    <w:rsid w:val="00E52CA7"/>
    <w:rsid w:val="00E5358D"/>
    <w:rsid w:val="00E535ED"/>
    <w:rsid w:val="00E53895"/>
    <w:rsid w:val="00E54652"/>
    <w:rsid w:val="00E549C3"/>
    <w:rsid w:val="00E54F63"/>
    <w:rsid w:val="00E55B50"/>
    <w:rsid w:val="00E600BC"/>
    <w:rsid w:val="00E61495"/>
    <w:rsid w:val="00E61671"/>
    <w:rsid w:val="00E63E2A"/>
    <w:rsid w:val="00E644C2"/>
    <w:rsid w:val="00E64551"/>
    <w:rsid w:val="00E66D4A"/>
    <w:rsid w:val="00E720A7"/>
    <w:rsid w:val="00E72359"/>
    <w:rsid w:val="00E7422C"/>
    <w:rsid w:val="00E752F7"/>
    <w:rsid w:val="00E758F3"/>
    <w:rsid w:val="00E84334"/>
    <w:rsid w:val="00E84425"/>
    <w:rsid w:val="00E8483A"/>
    <w:rsid w:val="00E85E0B"/>
    <w:rsid w:val="00E86EA9"/>
    <w:rsid w:val="00E877A2"/>
    <w:rsid w:val="00E9054E"/>
    <w:rsid w:val="00E90C39"/>
    <w:rsid w:val="00E91487"/>
    <w:rsid w:val="00E91E30"/>
    <w:rsid w:val="00E91F00"/>
    <w:rsid w:val="00E92D44"/>
    <w:rsid w:val="00E9409E"/>
    <w:rsid w:val="00E940C9"/>
    <w:rsid w:val="00E9473A"/>
    <w:rsid w:val="00E951A4"/>
    <w:rsid w:val="00E96B9A"/>
    <w:rsid w:val="00E972AB"/>
    <w:rsid w:val="00EA08DC"/>
    <w:rsid w:val="00EA1719"/>
    <w:rsid w:val="00EA503E"/>
    <w:rsid w:val="00EA6E17"/>
    <w:rsid w:val="00EA73D9"/>
    <w:rsid w:val="00EB2F37"/>
    <w:rsid w:val="00EB311C"/>
    <w:rsid w:val="00EB388F"/>
    <w:rsid w:val="00EB418D"/>
    <w:rsid w:val="00EB5B6F"/>
    <w:rsid w:val="00EB6E78"/>
    <w:rsid w:val="00EB7911"/>
    <w:rsid w:val="00EB7A5A"/>
    <w:rsid w:val="00EC092F"/>
    <w:rsid w:val="00EC0962"/>
    <w:rsid w:val="00EC1D92"/>
    <w:rsid w:val="00EC4E24"/>
    <w:rsid w:val="00EC5D77"/>
    <w:rsid w:val="00EC6749"/>
    <w:rsid w:val="00ED0E25"/>
    <w:rsid w:val="00ED2E36"/>
    <w:rsid w:val="00ED321C"/>
    <w:rsid w:val="00ED5D59"/>
    <w:rsid w:val="00EE3D08"/>
    <w:rsid w:val="00EE41E7"/>
    <w:rsid w:val="00EE6612"/>
    <w:rsid w:val="00EE66C0"/>
    <w:rsid w:val="00EE7E8F"/>
    <w:rsid w:val="00EF1427"/>
    <w:rsid w:val="00EF27DA"/>
    <w:rsid w:val="00EF28F4"/>
    <w:rsid w:val="00EF520E"/>
    <w:rsid w:val="00EF5DB9"/>
    <w:rsid w:val="00F01CF0"/>
    <w:rsid w:val="00F062B3"/>
    <w:rsid w:val="00F0682B"/>
    <w:rsid w:val="00F06C4C"/>
    <w:rsid w:val="00F077BD"/>
    <w:rsid w:val="00F10232"/>
    <w:rsid w:val="00F1050B"/>
    <w:rsid w:val="00F108D8"/>
    <w:rsid w:val="00F12413"/>
    <w:rsid w:val="00F13521"/>
    <w:rsid w:val="00F13ED2"/>
    <w:rsid w:val="00F169A6"/>
    <w:rsid w:val="00F17F2C"/>
    <w:rsid w:val="00F23249"/>
    <w:rsid w:val="00F25788"/>
    <w:rsid w:val="00F2710D"/>
    <w:rsid w:val="00F3002C"/>
    <w:rsid w:val="00F3054E"/>
    <w:rsid w:val="00F315EC"/>
    <w:rsid w:val="00F316BB"/>
    <w:rsid w:val="00F31A92"/>
    <w:rsid w:val="00F327FD"/>
    <w:rsid w:val="00F32F4A"/>
    <w:rsid w:val="00F332D9"/>
    <w:rsid w:val="00F34237"/>
    <w:rsid w:val="00F3443E"/>
    <w:rsid w:val="00F37D8A"/>
    <w:rsid w:val="00F41C6B"/>
    <w:rsid w:val="00F42C86"/>
    <w:rsid w:val="00F43A83"/>
    <w:rsid w:val="00F46415"/>
    <w:rsid w:val="00F46443"/>
    <w:rsid w:val="00F46866"/>
    <w:rsid w:val="00F50166"/>
    <w:rsid w:val="00F51BB4"/>
    <w:rsid w:val="00F5244F"/>
    <w:rsid w:val="00F528A0"/>
    <w:rsid w:val="00F52F7E"/>
    <w:rsid w:val="00F53380"/>
    <w:rsid w:val="00F535CE"/>
    <w:rsid w:val="00F53CC6"/>
    <w:rsid w:val="00F53EDD"/>
    <w:rsid w:val="00F54979"/>
    <w:rsid w:val="00F559FC"/>
    <w:rsid w:val="00F628C2"/>
    <w:rsid w:val="00F62B2B"/>
    <w:rsid w:val="00F63424"/>
    <w:rsid w:val="00F63DBE"/>
    <w:rsid w:val="00F6616D"/>
    <w:rsid w:val="00F67487"/>
    <w:rsid w:val="00F70A01"/>
    <w:rsid w:val="00F70B87"/>
    <w:rsid w:val="00F70CB8"/>
    <w:rsid w:val="00F7347E"/>
    <w:rsid w:val="00F738DD"/>
    <w:rsid w:val="00F74BE3"/>
    <w:rsid w:val="00F75065"/>
    <w:rsid w:val="00F7642B"/>
    <w:rsid w:val="00F775E1"/>
    <w:rsid w:val="00F77812"/>
    <w:rsid w:val="00F77986"/>
    <w:rsid w:val="00F77B89"/>
    <w:rsid w:val="00F840C0"/>
    <w:rsid w:val="00F87914"/>
    <w:rsid w:val="00F87D83"/>
    <w:rsid w:val="00F9045B"/>
    <w:rsid w:val="00F91060"/>
    <w:rsid w:val="00F92742"/>
    <w:rsid w:val="00F9365A"/>
    <w:rsid w:val="00F94A71"/>
    <w:rsid w:val="00F954F4"/>
    <w:rsid w:val="00F9630D"/>
    <w:rsid w:val="00F96FE4"/>
    <w:rsid w:val="00F97712"/>
    <w:rsid w:val="00F97C06"/>
    <w:rsid w:val="00F97D65"/>
    <w:rsid w:val="00F97D68"/>
    <w:rsid w:val="00FA06AD"/>
    <w:rsid w:val="00FA14C4"/>
    <w:rsid w:val="00FA16C0"/>
    <w:rsid w:val="00FA2370"/>
    <w:rsid w:val="00FA32CF"/>
    <w:rsid w:val="00FB1913"/>
    <w:rsid w:val="00FB4EF4"/>
    <w:rsid w:val="00FB6106"/>
    <w:rsid w:val="00FB6803"/>
    <w:rsid w:val="00FB7E58"/>
    <w:rsid w:val="00FC199D"/>
    <w:rsid w:val="00FC294B"/>
    <w:rsid w:val="00FC3AC1"/>
    <w:rsid w:val="00FC4E33"/>
    <w:rsid w:val="00FC6ADC"/>
    <w:rsid w:val="00FC7985"/>
    <w:rsid w:val="00FD0708"/>
    <w:rsid w:val="00FD17FB"/>
    <w:rsid w:val="00FD2089"/>
    <w:rsid w:val="00FD433D"/>
    <w:rsid w:val="00FD57E7"/>
    <w:rsid w:val="00FD5E7D"/>
    <w:rsid w:val="00FD6062"/>
    <w:rsid w:val="00FD77B6"/>
    <w:rsid w:val="00FE1694"/>
    <w:rsid w:val="00FE19FA"/>
    <w:rsid w:val="00FE1EE5"/>
    <w:rsid w:val="00FE220D"/>
    <w:rsid w:val="00FE2392"/>
    <w:rsid w:val="00FE4523"/>
    <w:rsid w:val="00FE73C1"/>
    <w:rsid w:val="00FE7AE6"/>
    <w:rsid w:val="00FF1D3D"/>
    <w:rsid w:val="00FF25E8"/>
    <w:rsid w:val="00FF36A4"/>
    <w:rsid w:val="00FF52F1"/>
    <w:rsid w:val="00FF5CEA"/>
    <w:rsid w:val="00FF70D6"/>
    <w:rsid w:val="00FF7365"/>
    <w:rsid w:val="00FF7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E758"/>
  <w15:chartTrackingRefBased/>
  <w15:docId w15:val="{CD2A0213-14DA-4383-8C4B-B9D649EC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B2"/>
  </w:style>
  <w:style w:type="paragraph" w:styleId="Heading1">
    <w:name w:val="heading 1"/>
    <w:basedOn w:val="Normal"/>
    <w:next w:val="Normal"/>
    <w:link w:val="Heading1Char"/>
    <w:uiPriority w:val="9"/>
    <w:qFormat/>
    <w:rsid w:val="00F750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F75065"/>
    <w:pPr>
      <w:keepNext/>
      <w:keepLines/>
      <w:spacing w:before="40" w:after="0"/>
      <w:outlineLvl w:val="1"/>
    </w:pPr>
    <w:rPr>
      <w:rFonts w:eastAsiaTheme="majorEastAsia" w:cstheme="majorBidi"/>
      <w:color w:val="58585A"/>
      <w:sz w:val="26"/>
      <w:szCs w:val="26"/>
    </w:rPr>
  </w:style>
  <w:style w:type="paragraph" w:styleId="Heading3">
    <w:name w:val="heading 3"/>
    <w:basedOn w:val="Normal"/>
    <w:next w:val="Normal"/>
    <w:link w:val="Heading3Char"/>
    <w:uiPriority w:val="9"/>
    <w:semiHidden/>
    <w:unhideWhenUsed/>
    <w:rsid w:val="00581E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27D0"/>
  </w:style>
  <w:style w:type="paragraph" w:styleId="Footer">
    <w:name w:val="footer"/>
    <w:basedOn w:val="Normal"/>
    <w:link w:val="FooterChar"/>
    <w:uiPriority w:val="99"/>
    <w:unhideWhenUsed/>
    <w:rsid w:val="00D92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27D0"/>
  </w:style>
  <w:style w:type="paragraph" w:styleId="Title">
    <w:name w:val="Title"/>
    <w:basedOn w:val="Normal"/>
    <w:next w:val="Normal"/>
    <w:link w:val="TitleChar"/>
    <w:uiPriority w:val="10"/>
    <w:qFormat/>
    <w:rsid w:val="00F75065"/>
    <w:pPr>
      <w:spacing w:before="120" w:after="120" w:line="240" w:lineRule="auto"/>
      <w:contextualSpacing/>
    </w:pPr>
    <w:rPr>
      <w:rFonts w:eastAsiaTheme="majorEastAsia" w:cstheme="majorBidi"/>
      <w:b/>
      <w:color w:val="596D83"/>
      <w:spacing w:val="-10"/>
      <w:kern w:val="28"/>
      <w:sz w:val="32"/>
      <w:szCs w:val="56"/>
    </w:rPr>
  </w:style>
  <w:style w:type="character" w:customStyle="1" w:styleId="TitleChar">
    <w:name w:val="Title Char"/>
    <w:basedOn w:val="DefaultParagraphFont"/>
    <w:link w:val="Title"/>
    <w:uiPriority w:val="10"/>
    <w:rsid w:val="00F75065"/>
    <w:rPr>
      <w:rFonts w:eastAsiaTheme="majorEastAsia" w:cstheme="majorBidi"/>
      <w:b/>
      <w:color w:val="596D83"/>
      <w:spacing w:val="-10"/>
      <w:kern w:val="28"/>
      <w:sz w:val="32"/>
      <w:szCs w:val="56"/>
    </w:rPr>
  </w:style>
  <w:style w:type="paragraph" w:styleId="BalloonText">
    <w:name w:val="Balloon Text"/>
    <w:basedOn w:val="Normal"/>
    <w:link w:val="BalloonTextChar"/>
    <w:uiPriority w:val="99"/>
    <w:semiHidden/>
    <w:unhideWhenUsed/>
    <w:rsid w:val="0062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D7"/>
    <w:rPr>
      <w:rFonts w:ascii="Segoe UI" w:hAnsi="Segoe UI" w:cs="Segoe UI"/>
      <w:sz w:val="18"/>
      <w:szCs w:val="18"/>
    </w:rPr>
  </w:style>
  <w:style w:type="character" w:styleId="Hyperlink">
    <w:name w:val="Hyperlink"/>
    <w:basedOn w:val="DefaultParagraphFont"/>
    <w:uiPriority w:val="99"/>
    <w:unhideWhenUsed/>
    <w:rsid w:val="00E254B2"/>
    <w:rPr>
      <w:color w:val="0563C1" w:themeColor="hyperlink"/>
      <w:u w:val="single"/>
    </w:rPr>
  </w:style>
  <w:style w:type="character" w:styleId="UnresolvedMention">
    <w:name w:val="Unresolved Mention"/>
    <w:basedOn w:val="DefaultParagraphFont"/>
    <w:uiPriority w:val="99"/>
    <w:semiHidden/>
    <w:unhideWhenUsed/>
    <w:rsid w:val="00E254B2"/>
    <w:rPr>
      <w:color w:val="605E5C"/>
      <w:shd w:val="clear" w:color="auto" w:fill="E1DFDD"/>
    </w:rPr>
  </w:style>
  <w:style w:type="character" w:customStyle="1" w:styleId="Heading2Char">
    <w:name w:val="Heading 2 Char"/>
    <w:basedOn w:val="DefaultParagraphFont"/>
    <w:link w:val="Heading2"/>
    <w:uiPriority w:val="9"/>
    <w:rsid w:val="00F75065"/>
    <w:rPr>
      <w:rFonts w:eastAsiaTheme="majorEastAsia" w:cstheme="majorBidi"/>
      <w:color w:val="58585A"/>
      <w:sz w:val="26"/>
      <w:szCs w:val="26"/>
    </w:rPr>
  </w:style>
  <w:style w:type="character" w:customStyle="1" w:styleId="Heading1Char">
    <w:name w:val="Heading 1 Char"/>
    <w:basedOn w:val="DefaultParagraphFont"/>
    <w:link w:val="Heading1"/>
    <w:uiPriority w:val="9"/>
    <w:rsid w:val="00F75065"/>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1D6E70"/>
    <w:pPr>
      <w:numPr>
        <w:ilvl w:val="1"/>
      </w:numPr>
    </w:pPr>
    <w:rPr>
      <w:rFonts w:eastAsiaTheme="minorEastAsia"/>
      <w:b/>
      <w:color w:val="5A5A5A" w:themeColor="text1" w:themeTint="A5"/>
      <w:spacing w:val="15"/>
      <w:sz w:val="26"/>
    </w:rPr>
  </w:style>
  <w:style w:type="character" w:customStyle="1" w:styleId="SubtitleChar">
    <w:name w:val="Subtitle Char"/>
    <w:basedOn w:val="DefaultParagraphFont"/>
    <w:link w:val="Subtitle"/>
    <w:uiPriority w:val="11"/>
    <w:rsid w:val="001D6E70"/>
    <w:rPr>
      <w:rFonts w:eastAsiaTheme="minorEastAsia"/>
      <w:b/>
      <w:color w:val="5A5A5A" w:themeColor="text1" w:themeTint="A5"/>
      <w:spacing w:val="15"/>
      <w:sz w:val="26"/>
    </w:rPr>
  </w:style>
  <w:style w:type="paragraph" w:styleId="ListParagraph">
    <w:name w:val="List Paragraph"/>
    <w:basedOn w:val="Normal"/>
    <w:uiPriority w:val="34"/>
    <w:qFormat/>
    <w:rsid w:val="002962A8"/>
    <w:pPr>
      <w:ind w:left="720"/>
      <w:contextualSpacing/>
    </w:pPr>
    <w:rPr>
      <w:rFonts w:ascii="Calibri Light" w:hAnsi="Calibri Light"/>
    </w:rPr>
  </w:style>
  <w:style w:type="table" w:styleId="TableGrid">
    <w:name w:val="Table Grid"/>
    <w:basedOn w:val="TableNormal"/>
    <w:uiPriority w:val="39"/>
    <w:rsid w:val="00836AA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80DF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6F03E1"/>
    <w:pPr>
      <w:spacing w:after="0" w:line="240" w:lineRule="auto"/>
    </w:pPr>
    <w:rPr>
      <w:color w:val="000000" w:themeColor="text1"/>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B259E"/>
    <w:pPr>
      <w:autoSpaceDE w:val="0"/>
      <w:autoSpaceDN w:val="0"/>
      <w:adjustRightInd w:val="0"/>
      <w:spacing w:after="0" w:line="240" w:lineRule="auto"/>
    </w:pPr>
    <w:rPr>
      <w:rFonts w:ascii="Arial" w:hAnsi="Arial" w:cs="Arial"/>
      <w:color w:val="000000"/>
      <w:sz w:val="24"/>
      <w:szCs w:val="24"/>
    </w:rPr>
  </w:style>
  <w:style w:type="table" w:styleId="GridTable6Colorful-Accent1">
    <w:name w:val="Grid Table 6 Colorful Accent 1"/>
    <w:basedOn w:val="TableNormal"/>
    <w:uiPriority w:val="51"/>
    <w:rsid w:val="00531CB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A146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3-Accent1">
    <w:name w:val="Grid Table 3 Accent 1"/>
    <w:basedOn w:val="TableNormal"/>
    <w:uiPriority w:val="48"/>
    <w:rsid w:val="00440C6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440C6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440C6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9E22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Heading3Char">
    <w:name w:val="Heading 3 Char"/>
    <w:basedOn w:val="DefaultParagraphFont"/>
    <w:link w:val="Heading3"/>
    <w:uiPriority w:val="9"/>
    <w:semiHidden/>
    <w:rsid w:val="00581EE7"/>
    <w:rPr>
      <w:rFonts w:asciiTheme="majorHAnsi" w:eastAsiaTheme="majorEastAsia" w:hAnsiTheme="majorHAnsi" w:cstheme="majorBidi"/>
      <w:color w:val="1F3763" w:themeColor="accent1" w:themeShade="7F"/>
      <w:sz w:val="24"/>
      <w:szCs w:val="24"/>
    </w:rPr>
  </w:style>
  <w:style w:type="table" w:styleId="GridTable1Light">
    <w:name w:val="Grid Table 1 Light"/>
    <w:basedOn w:val="TableNormal"/>
    <w:uiPriority w:val="46"/>
    <w:rsid w:val="00DF0B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82B85"/>
    <w:pPr>
      <w:spacing w:after="0" w:line="240" w:lineRule="auto"/>
    </w:pPr>
  </w:style>
  <w:style w:type="character" w:styleId="CommentReference">
    <w:name w:val="annotation reference"/>
    <w:basedOn w:val="DefaultParagraphFont"/>
    <w:uiPriority w:val="99"/>
    <w:semiHidden/>
    <w:unhideWhenUsed/>
    <w:rsid w:val="001E30A0"/>
    <w:rPr>
      <w:sz w:val="16"/>
      <w:szCs w:val="16"/>
    </w:rPr>
  </w:style>
  <w:style w:type="paragraph" w:styleId="CommentText">
    <w:name w:val="annotation text"/>
    <w:basedOn w:val="Normal"/>
    <w:link w:val="CommentTextChar"/>
    <w:uiPriority w:val="99"/>
    <w:unhideWhenUsed/>
    <w:rsid w:val="001E30A0"/>
    <w:pPr>
      <w:spacing w:line="240" w:lineRule="auto"/>
    </w:pPr>
    <w:rPr>
      <w:sz w:val="20"/>
      <w:szCs w:val="20"/>
    </w:rPr>
  </w:style>
  <w:style w:type="character" w:customStyle="1" w:styleId="CommentTextChar">
    <w:name w:val="Comment Text Char"/>
    <w:basedOn w:val="DefaultParagraphFont"/>
    <w:link w:val="CommentText"/>
    <w:uiPriority w:val="99"/>
    <w:rsid w:val="001E30A0"/>
    <w:rPr>
      <w:sz w:val="20"/>
      <w:szCs w:val="20"/>
    </w:rPr>
  </w:style>
  <w:style w:type="paragraph" w:styleId="CommentSubject">
    <w:name w:val="annotation subject"/>
    <w:basedOn w:val="CommentText"/>
    <w:next w:val="CommentText"/>
    <w:link w:val="CommentSubjectChar"/>
    <w:uiPriority w:val="99"/>
    <w:semiHidden/>
    <w:unhideWhenUsed/>
    <w:rsid w:val="001E30A0"/>
    <w:rPr>
      <w:b/>
      <w:bCs/>
    </w:rPr>
  </w:style>
  <w:style w:type="character" w:customStyle="1" w:styleId="CommentSubjectChar">
    <w:name w:val="Comment Subject Char"/>
    <w:basedOn w:val="CommentTextChar"/>
    <w:link w:val="CommentSubject"/>
    <w:uiPriority w:val="99"/>
    <w:semiHidden/>
    <w:rsid w:val="001E3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891">
      <w:bodyDiv w:val="1"/>
      <w:marLeft w:val="0"/>
      <w:marRight w:val="0"/>
      <w:marTop w:val="0"/>
      <w:marBottom w:val="0"/>
      <w:divBdr>
        <w:top w:val="none" w:sz="0" w:space="0" w:color="auto"/>
        <w:left w:val="none" w:sz="0" w:space="0" w:color="auto"/>
        <w:bottom w:val="none" w:sz="0" w:space="0" w:color="auto"/>
        <w:right w:val="none" w:sz="0" w:space="0" w:color="auto"/>
      </w:divBdr>
    </w:div>
    <w:div w:id="98526228">
      <w:bodyDiv w:val="1"/>
      <w:marLeft w:val="0"/>
      <w:marRight w:val="0"/>
      <w:marTop w:val="0"/>
      <w:marBottom w:val="0"/>
      <w:divBdr>
        <w:top w:val="none" w:sz="0" w:space="0" w:color="auto"/>
        <w:left w:val="none" w:sz="0" w:space="0" w:color="auto"/>
        <w:bottom w:val="none" w:sz="0" w:space="0" w:color="auto"/>
        <w:right w:val="none" w:sz="0" w:space="0" w:color="auto"/>
      </w:divBdr>
      <w:divsChild>
        <w:div w:id="1728066450">
          <w:marLeft w:val="0"/>
          <w:marRight w:val="0"/>
          <w:marTop w:val="0"/>
          <w:marBottom w:val="0"/>
          <w:divBdr>
            <w:top w:val="single" w:sz="12" w:space="0" w:color="auto"/>
            <w:left w:val="single" w:sz="12" w:space="0" w:color="auto"/>
            <w:bottom w:val="single" w:sz="12" w:space="0" w:color="auto"/>
            <w:right w:val="single" w:sz="12" w:space="0" w:color="auto"/>
          </w:divBdr>
          <w:divsChild>
            <w:div w:id="103049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013">
      <w:bodyDiv w:val="1"/>
      <w:marLeft w:val="0"/>
      <w:marRight w:val="0"/>
      <w:marTop w:val="0"/>
      <w:marBottom w:val="0"/>
      <w:divBdr>
        <w:top w:val="none" w:sz="0" w:space="0" w:color="auto"/>
        <w:left w:val="none" w:sz="0" w:space="0" w:color="auto"/>
        <w:bottom w:val="none" w:sz="0" w:space="0" w:color="auto"/>
        <w:right w:val="none" w:sz="0" w:space="0" w:color="auto"/>
      </w:divBdr>
      <w:divsChild>
        <w:div w:id="2098289136">
          <w:blockQuote w:val="1"/>
          <w:marLeft w:val="0"/>
          <w:marRight w:val="0"/>
          <w:marTop w:val="120"/>
          <w:marBottom w:val="120"/>
          <w:divBdr>
            <w:top w:val="none" w:sz="0" w:space="0" w:color="auto"/>
            <w:left w:val="none" w:sz="0" w:space="0" w:color="auto"/>
            <w:bottom w:val="none" w:sz="0" w:space="0" w:color="auto"/>
            <w:right w:val="none" w:sz="0" w:space="0" w:color="auto"/>
          </w:divBdr>
        </w:div>
        <w:div w:id="121584655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61246093">
              <w:blockQuote w:val="1"/>
              <w:marLeft w:val="600"/>
              <w:marRight w:val="0"/>
              <w:marTop w:val="120"/>
              <w:marBottom w:val="120"/>
              <w:divBdr>
                <w:top w:val="none" w:sz="0" w:space="0" w:color="auto"/>
                <w:left w:val="none" w:sz="0" w:space="0" w:color="auto"/>
                <w:bottom w:val="none" w:sz="0" w:space="0" w:color="auto"/>
                <w:right w:val="none" w:sz="0" w:space="0" w:color="auto"/>
              </w:divBdr>
            </w:div>
            <w:div w:id="1818766419">
              <w:blockQuote w:val="1"/>
              <w:marLeft w:val="600"/>
              <w:marRight w:val="0"/>
              <w:marTop w:val="120"/>
              <w:marBottom w:val="120"/>
              <w:divBdr>
                <w:top w:val="none" w:sz="0" w:space="0" w:color="auto"/>
                <w:left w:val="none" w:sz="0" w:space="0" w:color="auto"/>
                <w:bottom w:val="none" w:sz="0" w:space="0" w:color="auto"/>
                <w:right w:val="none" w:sz="0" w:space="0" w:color="auto"/>
              </w:divBdr>
            </w:div>
            <w:div w:id="100225834">
              <w:blockQuote w:val="1"/>
              <w:marLeft w:val="600"/>
              <w:marRight w:val="0"/>
              <w:marTop w:val="120"/>
              <w:marBottom w:val="120"/>
              <w:divBdr>
                <w:top w:val="none" w:sz="0" w:space="0" w:color="auto"/>
                <w:left w:val="none" w:sz="0" w:space="0" w:color="auto"/>
                <w:bottom w:val="none" w:sz="0" w:space="0" w:color="auto"/>
                <w:right w:val="none" w:sz="0" w:space="0" w:color="auto"/>
              </w:divBdr>
            </w:div>
            <w:div w:id="243950927">
              <w:blockQuote w:val="1"/>
              <w:marLeft w:val="600"/>
              <w:marRight w:val="0"/>
              <w:marTop w:val="120"/>
              <w:marBottom w:val="120"/>
              <w:divBdr>
                <w:top w:val="none" w:sz="0" w:space="0" w:color="auto"/>
                <w:left w:val="none" w:sz="0" w:space="0" w:color="auto"/>
                <w:bottom w:val="none" w:sz="0" w:space="0" w:color="auto"/>
                <w:right w:val="none" w:sz="0" w:space="0" w:color="auto"/>
              </w:divBdr>
            </w:div>
            <w:div w:id="67870314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7356614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34683778">
      <w:bodyDiv w:val="1"/>
      <w:marLeft w:val="0"/>
      <w:marRight w:val="0"/>
      <w:marTop w:val="0"/>
      <w:marBottom w:val="0"/>
      <w:divBdr>
        <w:top w:val="none" w:sz="0" w:space="0" w:color="auto"/>
        <w:left w:val="none" w:sz="0" w:space="0" w:color="auto"/>
        <w:bottom w:val="none" w:sz="0" w:space="0" w:color="auto"/>
        <w:right w:val="none" w:sz="0" w:space="0" w:color="auto"/>
      </w:divBdr>
    </w:div>
    <w:div w:id="168641177">
      <w:bodyDiv w:val="1"/>
      <w:marLeft w:val="0"/>
      <w:marRight w:val="0"/>
      <w:marTop w:val="0"/>
      <w:marBottom w:val="0"/>
      <w:divBdr>
        <w:top w:val="none" w:sz="0" w:space="0" w:color="auto"/>
        <w:left w:val="none" w:sz="0" w:space="0" w:color="auto"/>
        <w:bottom w:val="none" w:sz="0" w:space="0" w:color="auto"/>
        <w:right w:val="none" w:sz="0" w:space="0" w:color="auto"/>
      </w:divBdr>
    </w:div>
    <w:div w:id="218247780">
      <w:bodyDiv w:val="1"/>
      <w:marLeft w:val="0"/>
      <w:marRight w:val="0"/>
      <w:marTop w:val="0"/>
      <w:marBottom w:val="0"/>
      <w:divBdr>
        <w:top w:val="none" w:sz="0" w:space="0" w:color="auto"/>
        <w:left w:val="none" w:sz="0" w:space="0" w:color="auto"/>
        <w:bottom w:val="none" w:sz="0" w:space="0" w:color="auto"/>
        <w:right w:val="none" w:sz="0" w:space="0" w:color="auto"/>
      </w:divBdr>
    </w:div>
    <w:div w:id="504513047">
      <w:bodyDiv w:val="1"/>
      <w:marLeft w:val="0"/>
      <w:marRight w:val="0"/>
      <w:marTop w:val="0"/>
      <w:marBottom w:val="0"/>
      <w:divBdr>
        <w:top w:val="none" w:sz="0" w:space="0" w:color="auto"/>
        <w:left w:val="none" w:sz="0" w:space="0" w:color="auto"/>
        <w:bottom w:val="none" w:sz="0" w:space="0" w:color="auto"/>
        <w:right w:val="none" w:sz="0" w:space="0" w:color="auto"/>
      </w:divBdr>
    </w:div>
    <w:div w:id="509102963">
      <w:bodyDiv w:val="1"/>
      <w:marLeft w:val="0"/>
      <w:marRight w:val="0"/>
      <w:marTop w:val="0"/>
      <w:marBottom w:val="0"/>
      <w:divBdr>
        <w:top w:val="none" w:sz="0" w:space="0" w:color="auto"/>
        <w:left w:val="none" w:sz="0" w:space="0" w:color="auto"/>
        <w:bottom w:val="none" w:sz="0" w:space="0" w:color="auto"/>
        <w:right w:val="none" w:sz="0" w:space="0" w:color="auto"/>
      </w:divBdr>
    </w:div>
    <w:div w:id="549263420">
      <w:bodyDiv w:val="1"/>
      <w:marLeft w:val="0"/>
      <w:marRight w:val="0"/>
      <w:marTop w:val="0"/>
      <w:marBottom w:val="0"/>
      <w:divBdr>
        <w:top w:val="none" w:sz="0" w:space="0" w:color="auto"/>
        <w:left w:val="none" w:sz="0" w:space="0" w:color="auto"/>
        <w:bottom w:val="none" w:sz="0" w:space="0" w:color="auto"/>
        <w:right w:val="none" w:sz="0" w:space="0" w:color="auto"/>
      </w:divBdr>
    </w:div>
    <w:div w:id="641008511">
      <w:bodyDiv w:val="1"/>
      <w:marLeft w:val="0"/>
      <w:marRight w:val="0"/>
      <w:marTop w:val="0"/>
      <w:marBottom w:val="0"/>
      <w:divBdr>
        <w:top w:val="none" w:sz="0" w:space="0" w:color="auto"/>
        <w:left w:val="none" w:sz="0" w:space="0" w:color="auto"/>
        <w:bottom w:val="none" w:sz="0" w:space="0" w:color="auto"/>
        <w:right w:val="none" w:sz="0" w:space="0" w:color="auto"/>
      </w:divBdr>
    </w:div>
    <w:div w:id="693191217">
      <w:bodyDiv w:val="1"/>
      <w:marLeft w:val="0"/>
      <w:marRight w:val="0"/>
      <w:marTop w:val="0"/>
      <w:marBottom w:val="0"/>
      <w:divBdr>
        <w:top w:val="none" w:sz="0" w:space="0" w:color="auto"/>
        <w:left w:val="none" w:sz="0" w:space="0" w:color="auto"/>
        <w:bottom w:val="none" w:sz="0" w:space="0" w:color="auto"/>
        <w:right w:val="none" w:sz="0" w:space="0" w:color="auto"/>
      </w:divBdr>
    </w:div>
    <w:div w:id="803427872">
      <w:bodyDiv w:val="1"/>
      <w:marLeft w:val="0"/>
      <w:marRight w:val="0"/>
      <w:marTop w:val="0"/>
      <w:marBottom w:val="0"/>
      <w:divBdr>
        <w:top w:val="none" w:sz="0" w:space="0" w:color="auto"/>
        <w:left w:val="none" w:sz="0" w:space="0" w:color="auto"/>
        <w:bottom w:val="none" w:sz="0" w:space="0" w:color="auto"/>
        <w:right w:val="none" w:sz="0" w:space="0" w:color="auto"/>
      </w:divBdr>
    </w:div>
    <w:div w:id="883949979">
      <w:bodyDiv w:val="1"/>
      <w:marLeft w:val="0"/>
      <w:marRight w:val="0"/>
      <w:marTop w:val="0"/>
      <w:marBottom w:val="0"/>
      <w:divBdr>
        <w:top w:val="none" w:sz="0" w:space="0" w:color="auto"/>
        <w:left w:val="none" w:sz="0" w:space="0" w:color="auto"/>
        <w:bottom w:val="none" w:sz="0" w:space="0" w:color="auto"/>
        <w:right w:val="none" w:sz="0" w:space="0" w:color="auto"/>
      </w:divBdr>
    </w:div>
    <w:div w:id="936400893">
      <w:bodyDiv w:val="1"/>
      <w:marLeft w:val="0"/>
      <w:marRight w:val="0"/>
      <w:marTop w:val="0"/>
      <w:marBottom w:val="0"/>
      <w:divBdr>
        <w:top w:val="none" w:sz="0" w:space="0" w:color="auto"/>
        <w:left w:val="none" w:sz="0" w:space="0" w:color="auto"/>
        <w:bottom w:val="none" w:sz="0" w:space="0" w:color="auto"/>
        <w:right w:val="none" w:sz="0" w:space="0" w:color="auto"/>
      </w:divBdr>
      <w:divsChild>
        <w:div w:id="934021219">
          <w:marLeft w:val="0"/>
          <w:marRight w:val="0"/>
          <w:marTop w:val="0"/>
          <w:marBottom w:val="0"/>
          <w:divBdr>
            <w:top w:val="none" w:sz="0" w:space="0" w:color="auto"/>
            <w:left w:val="none" w:sz="0" w:space="0" w:color="auto"/>
            <w:bottom w:val="none" w:sz="0" w:space="0" w:color="auto"/>
            <w:right w:val="none" w:sz="0" w:space="0" w:color="auto"/>
          </w:divBdr>
        </w:div>
      </w:divsChild>
    </w:div>
    <w:div w:id="960185974">
      <w:bodyDiv w:val="1"/>
      <w:marLeft w:val="0"/>
      <w:marRight w:val="0"/>
      <w:marTop w:val="0"/>
      <w:marBottom w:val="0"/>
      <w:divBdr>
        <w:top w:val="none" w:sz="0" w:space="0" w:color="auto"/>
        <w:left w:val="none" w:sz="0" w:space="0" w:color="auto"/>
        <w:bottom w:val="none" w:sz="0" w:space="0" w:color="auto"/>
        <w:right w:val="none" w:sz="0" w:space="0" w:color="auto"/>
      </w:divBdr>
    </w:div>
    <w:div w:id="986322370">
      <w:bodyDiv w:val="1"/>
      <w:marLeft w:val="0"/>
      <w:marRight w:val="0"/>
      <w:marTop w:val="0"/>
      <w:marBottom w:val="0"/>
      <w:divBdr>
        <w:top w:val="none" w:sz="0" w:space="0" w:color="auto"/>
        <w:left w:val="none" w:sz="0" w:space="0" w:color="auto"/>
        <w:bottom w:val="none" w:sz="0" w:space="0" w:color="auto"/>
        <w:right w:val="none" w:sz="0" w:space="0" w:color="auto"/>
      </w:divBdr>
    </w:div>
    <w:div w:id="1023358768">
      <w:bodyDiv w:val="1"/>
      <w:marLeft w:val="0"/>
      <w:marRight w:val="0"/>
      <w:marTop w:val="0"/>
      <w:marBottom w:val="0"/>
      <w:divBdr>
        <w:top w:val="none" w:sz="0" w:space="0" w:color="auto"/>
        <w:left w:val="none" w:sz="0" w:space="0" w:color="auto"/>
        <w:bottom w:val="none" w:sz="0" w:space="0" w:color="auto"/>
        <w:right w:val="none" w:sz="0" w:space="0" w:color="auto"/>
      </w:divBdr>
    </w:div>
    <w:div w:id="1025599072">
      <w:bodyDiv w:val="1"/>
      <w:marLeft w:val="0"/>
      <w:marRight w:val="0"/>
      <w:marTop w:val="0"/>
      <w:marBottom w:val="0"/>
      <w:divBdr>
        <w:top w:val="none" w:sz="0" w:space="0" w:color="auto"/>
        <w:left w:val="none" w:sz="0" w:space="0" w:color="auto"/>
        <w:bottom w:val="none" w:sz="0" w:space="0" w:color="auto"/>
        <w:right w:val="none" w:sz="0" w:space="0" w:color="auto"/>
      </w:divBdr>
    </w:div>
    <w:div w:id="1047875065">
      <w:bodyDiv w:val="1"/>
      <w:marLeft w:val="0"/>
      <w:marRight w:val="0"/>
      <w:marTop w:val="0"/>
      <w:marBottom w:val="0"/>
      <w:divBdr>
        <w:top w:val="none" w:sz="0" w:space="0" w:color="auto"/>
        <w:left w:val="none" w:sz="0" w:space="0" w:color="auto"/>
        <w:bottom w:val="none" w:sz="0" w:space="0" w:color="auto"/>
        <w:right w:val="none" w:sz="0" w:space="0" w:color="auto"/>
      </w:divBdr>
      <w:divsChild>
        <w:div w:id="790786087">
          <w:marLeft w:val="0"/>
          <w:marRight w:val="0"/>
          <w:marTop w:val="0"/>
          <w:marBottom w:val="0"/>
          <w:divBdr>
            <w:top w:val="single" w:sz="12" w:space="0" w:color="auto"/>
            <w:left w:val="single" w:sz="12" w:space="0" w:color="auto"/>
            <w:bottom w:val="single" w:sz="12" w:space="0" w:color="auto"/>
            <w:right w:val="single" w:sz="12" w:space="0" w:color="auto"/>
          </w:divBdr>
          <w:divsChild>
            <w:div w:id="5598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8651">
      <w:bodyDiv w:val="1"/>
      <w:marLeft w:val="0"/>
      <w:marRight w:val="0"/>
      <w:marTop w:val="0"/>
      <w:marBottom w:val="0"/>
      <w:divBdr>
        <w:top w:val="none" w:sz="0" w:space="0" w:color="auto"/>
        <w:left w:val="none" w:sz="0" w:space="0" w:color="auto"/>
        <w:bottom w:val="none" w:sz="0" w:space="0" w:color="auto"/>
        <w:right w:val="none" w:sz="0" w:space="0" w:color="auto"/>
      </w:divBdr>
    </w:div>
    <w:div w:id="1187601249">
      <w:bodyDiv w:val="1"/>
      <w:marLeft w:val="0"/>
      <w:marRight w:val="0"/>
      <w:marTop w:val="0"/>
      <w:marBottom w:val="0"/>
      <w:divBdr>
        <w:top w:val="none" w:sz="0" w:space="0" w:color="auto"/>
        <w:left w:val="none" w:sz="0" w:space="0" w:color="auto"/>
        <w:bottom w:val="none" w:sz="0" w:space="0" w:color="auto"/>
        <w:right w:val="none" w:sz="0" w:space="0" w:color="auto"/>
      </w:divBdr>
    </w:div>
    <w:div w:id="1269701670">
      <w:bodyDiv w:val="1"/>
      <w:marLeft w:val="0"/>
      <w:marRight w:val="0"/>
      <w:marTop w:val="0"/>
      <w:marBottom w:val="0"/>
      <w:divBdr>
        <w:top w:val="none" w:sz="0" w:space="0" w:color="auto"/>
        <w:left w:val="none" w:sz="0" w:space="0" w:color="auto"/>
        <w:bottom w:val="none" w:sz="0" w:space="0" w:color="auto"/>
        <w:right w:val="none" w:sz="0" w:space="0" w:color="auto"/>
      </w:divBdr>
    </w:div>
    <w:div w:id="1374697740">
      <w:bodyDiv w:val="1"/>
      <w:marLeft w:val="0"/>
      <w:marRight w:val="0"/>
      <w:marTop w:val="0"/>
      <w:marBottom w:val="0"/>
      <w:divBdr>
        <w:top w:val="none" w:sz="0" w:space="0" w:color="auto"/>
        <w:left w:val="none" w:sz="0" w:space="0" w:color="auto"/>
        <w:bottom w:val="none" w:sz="0" w:space="0" w:color="auto"/>
        <w:right w:val="none" w:sz="0" w:space="0" w:color="auto"/>
      </w:divBdr>
    </w:div>
    <w:div w:id="1377389244">
      <w:bodyDiv w:val="1"/>
      <w:marLeft w:val="0"/>
      <w:marRight w:val="0"/>
      <w:marTop w:val="0"/>
      <w:marBottom w:val="0"/>
      <w:divBdr>
        <w:top w:val="none" w:sz="0" w:space="0" w:color="auto"/>
        <w:left w:val="none" w:sz="0" w:space="0" w:color="auto"/>
        <w:bottom w:val="none" w:sz="0" w:space="0" w:color="auto"/>
        <w:right w:val="none" w:sz="0" w:space="0" w:color="auto"/>
      </w:divBdr>
    </w:div>
    <w:div w:id="1511797149">
      <w:bodyDiv w:val="1"/>
      <w:marLeft w:val="0"/>
      <w:marRight w:val="0"/>
      <w:marTop w:val="0"/>
      <w:marBottom w:val="0"/>
      <w:divBdr>
        <w:top w:val="none" w:sz="0" w:space="0" w:color="auto"/>
        <w:left w:val="none" w:sz="0" w:space="0" w:color="auto"/>
        <w:bottom w:val="none" w:sz="0" w:space="0" w:color="auto"/>
        <w:right w:val="none" w:sz="0" w:space="0" w:color="auto"/>
      </w:divBdr>
    </w:div>
    <w:div w:id="1600020310">
      <w:bodyDiv w:val="1"/>
      <w:marLeft w:val="0"/>
      <w:marRight w:val="0"/>
      <w:marTop w:val="0"/>
      <w:marBottom w:val="0"/>
      <w:divBdr>
        <w:top w:val="none" w:sz="0" w:space="0" w:color="auto"/>
        <w:left w:val="none" w:sz="0" w:space="0" w:color="auto"/>
        <w:bottom w:val="none" w:sz="0" w:space="0" w:color="auto"/>
        <w:right w:val="none" w:sz="0" w:space="0" w:color="auto"/>
      </w:divBdr>
    </w:div>
    <w:div w:id="1640961890">
      <w:bodyDiv w:val="1"/>
      <w:marLeft w:val="0"/>
      <w:marRight w:val="0"/>
      <w:marTop w:val="0"/>
      <w:marBottom w:val="0"/>
      <w:divBdr>
        <w:top w:val="none" w:sz="0" w:space="0" w:color="auto"/>
        <w:left w:val="none" w:sz="0" w:space="0" w:color="auto"/>
        <w:bottom w:val="none" w:sz="0" w:space="0" w:color="auto"/>
        <w:right w:val="none" w:sz="0" w:space="0" w:color="auto"/>
      </w:divBdr>
    </w:div>
    <w:div w:id="1673606837">
      <w:bodyDiv w:val="1"/>
      <w:marLeft w:val="0"/>
      <w:marRight w:val="0"/>
      <w:marTop w:val="0"/>
      <w:marBottom w:val="0"/>
      <w:divBdr>
        <w:top w:val="none" w:sz="0" w:space="0" w:color="auto"/>
        <w:left w:val="none" w:sz="0" w:space="0" w:color="auto"/>
        <w:bottom w:val="none" w:sz="0" w:space="0" w:color="auto"/>
        <w:right w:val="none" w:sz="0" w:space="0" w:color="auto"/>
      </w:divBdr>
      <w:divsChild>
        <w:div w:id="2041662481">
          <w:blockQuote w:val="1"/>
          <w:marLeft w:val="0"/>
          <w:marRight w:val="0"/>
          <w:marTop w:val="120"/>
          <w:marBottom w:val="120"/>
          <w:divBdr>
            <w:top w:val="none" w:sz="0" w:space="0" w:color="auto"/>
            <w:left w:val="none" w:sz="0" w:space="0" w:color="auto"/>
            <w:bottom w:val="none" w:sz="0" w:space="0" w:color="auto"/>
            <w:right w:val="none" w:sz="0" w:space="0" w:color="auto"/>
          </w:divBdr>
        </w:div>
        <w:div w:id="110554191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7048466">
              <w:blockQuote w:val="1"/>
              <w:marLeft w:val="600"/>
              <w:marRight w:val="0"/>
              <w:marTop w:val="120"/>
              <w:marBottom w:val="120"/>
              <w:divBdr>
                <w:top w:val="none" w:sz="0" w:space="0" w:color="auto"/>
                <w:left w:val="none" w:sz="0" w:space="0" w:color="auto"/>
                <w:bottom w:val="none" w:sz="0" w:space="0" w:color="auto"/>
                <w:right w:val="none" w:sz="0" w:space="0" w:color="auto"/>
              </w:divBdr>
            </w:div>
            <w:div w:id="1023897324">
              <w:blockQuote w:val="1"/>
              <w:marLeft w:val="600"/>
              <w:marRight w:val="0"/>
              <w:marTop w:val="120"/>
              <w:marBottom w:val="120"/>
              <w:divBdr>
                <w:top w:val="none" w:sz="0" w:space="0" w:color="auto"/>
                <w:left w:val="none" w:sz="0" w:space="0" w:color="auto"/>
                <w:bottom w:val="none" w:sz="0" w:space="0" w:color="auto"/>
                <w:right w:val="none" w:sz="0" w:space="0" w:color="auto"/>
              </w:divBdr>
            </w:div>
            <w:div w:id="242302774">
              <w:blockQuote w:val="1"/>
              <w:marLeft w:val="600"/>
              <w:marRight w:val="0"/>
              <w:marTop w:val="120"/>
              <w:marBottom w:val="120"/>
              <w:divBdr>
                <w:top w:val="none" w:sz="0" w:space="0" w:color="auto"/>
                <w:left w:val="none" w:sz="0" w:space="0" w:color="auto"/>
                <w:bottom w:val="none" w:sz="0" w:space="0" w:color="auto"/>
                <w:right w:val="none" w:sz="0" w:space="0" w:color="auto"/>
              </w:divBdr>
            </w:div>
            <w:div w:id="120419637">
              <w:blockQuote w:val="1"/>
              <w:marLeft w:val="600"/>
              <w:marRight w:val="0"/>
              <w:marTop w:val="120"/>
              <w:marBottom w:val="120"/>
              <w:divBdr>
                <w:top w:val="none" w:sz="0" w:space="0" w:color="auto"/>
                <w:left w:val="none" w:sz="0" w:space="0" w:color="auto"/>
                <w:bottom w:val="none" w:sz="0" w:space="0" w:color="auto"/>
                <w:right w:val="none" w:sz="0" w:space="0" w:color="auto"/>
              </w:divBdr>
            </w:div>
            <w:div w:id="1744636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9095540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94959114">
      <w:bodyDiv w:val="1"/>
      <w:marLeft w:val="0"/>
      <w:marRight w:val="0"/>
      <w:marTop w:val="0"/>
      <w:marBottom w:val="0"/>
      <w:divBdr>
        <w:top w:val="none" w:sz="0" w:space="0" w:color="auto"/>
        <w:left w:val="none" w:sz="0" w:space="0" w:color="auto"/>
        <w:bottom w:val="none" w:sz="0" w:space="0" w:color="auto"/>
        <w:right w:val="none" w:sz="0" w:space="0" w:color="auto"/>
      </w:divBdr>
    </w:div>
    <w:div w:id="1943759463">
      <w:bodyDiv w:val="1"/>
      <w:marLeft w:val="0"/>
      <w:marRight w:val="0"/>
      <w:marTop w:val="0"/>
      <w:marBottom w:val="0"/>
      <w:divBdr>
        <w:top w:val="none" w:sz="0" w:space="0" w:color="auto"/>
        <w:left w:val="none" w:sz="0" w:space="0" w:color="auto"/>
        <w:bottom w:val="none" w:sz="0" w:space="0" w:color="auto"/>
        <w:right w:val="none" w:sz="0" w:space="0" w:color="auto"/>
      </w:divBdr>
      <w:divsChild>
        <w:div w:id="1972247944">
          <w:marLeft w:val="0"/>
          <w:marRight w:val="0"/>
          <w:marTop w:val="0"/>
          <w:marBottom w:val="0"/>
          <w:divBdr>
            <w:top w:val="none" w:sz="0" w:space="0" w:color="auto"/>
            <w:left w:val="none" w:sz="0" w:space="0" w:color="auto"/>
            <w:bottom w:val="none" w:sz="0" w:space="0" w:color="auto"/>
            <w:right w:val="none" w:sz="0" w:space="0" w:color="auto"/>
          </w:divBdr>
        </w:div>
      </w:divsChild>
    </w:div>
    <w:div w:id="207376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cid:ii_l1d11hjk0" TargetMode="External"/><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481530-3c00-4dde-b142-9d45f8b8f16a">
      <Terms xmlns="http://schemas.microsoft.com/office/infopath/2007/PartnerControls"/>
    </lcf76f155ced4ddcb4097134ff3c332f>
    <TaxCatchAll xmlns="ecadc4b3-954e-4480-8a20-3ee969fbfe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0C8BC96C77624AA53DD896533D30A6" ma:contentTypeVersion="12" ma:contentTypeDescription="Create a new document." ma:contentTypeScope="" ma:versionID="52a2ae35a809e8f09248f9df39e4a4a9">
  <xsd:schema xmlns:xsd="http://www.w3.org/2001/XMLSchema" xmlns:xs="http://www.w3.org/2001/XMLSchema" xmlns:p="http://schemas.microsoft.com/office/2006/metadata/properties" xmlns:ns2="ee481530-3c00-4dde-b142-9d45f8b8f16a" xmlns:ns3="ecadc4b3-954e-4480-8a20-3ee969fbfe4e" targetNamespace="http://schemas.microsoft.com/office/2006/metadata/properties" ma:root="true" ma:fieldsID="2a13b8395915af38fdf718939f5cbde7" ns2:_="" ns3:_="">
    <xsd:import namespace="ee481530-3c00-4dde-b142-9d45f8b8f16a"/>
    <xsd:import namespace="ecadc4b3-954e-4480-8a20-3ee969fbf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81530-3c00-4dde-b142-9d45f8b8f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4f00fd-4daf-4865-9c85-f7760cc710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dc4b3-954e-4480-8a20-3ee969fbfe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68755e-17b9-45a5-802d-f8d06fb9d5de}" ma:internalName="TaxCatchAll" ma:showField="CatchAllData" ma:web="ecadc4b3-954e-4480-8a20-3ee969fbf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E4867-409B-4EBF-9D57-5B4A54303130}">
  <ds:schemaRefs>
    <ds:schemaRef ds:uri="http://schemas.microsoft.com/sharepoint/v3/contenttype/forms"/>
  </ds:schemaRefs>
</ds:datastoreItem>
</file>

<file path=customXml/itemProps2.xml><?xml version="1.0" encoding="utf-8"?>
<ds:datastoreItem xmlns:ds="http://schemas.openxmlformats.org/officeDocument/2006/customXml" ds:itemID="{18211EB0-06E4-45E8-9B6B-FA3932EF3FDA}">
  <ds:schemaRefs>
    <ds:schemaRef ds:uri="http://schemas.microsoft.com/office/2006/metadata/properties"/>
    <ds:schemaRef ds:uri="http://schemas.microsoft.com/office/infopath/2007/PartnerControls"/>
    <ds:schemaRef ds:uri="ee481530-3c00-4dde-b142-9d45f8b8f16a"/>
    <ds:schemaRef ds:uri="ecadc4b3-954e-4480-8a20-3ee969fbfe4e"/>
  </ds:schemaRefs>
</ds:datastoreItem>
</file>

<file path=customXml/itemProps3.xml><?xml version="1.0" encoding="utf-8"?>
<ds:datastoreItem xmlns:ds="http://schemas.openxmlformats.org/officeDocument/2006/customXml" ds:itemID="{76EA4231-7CE3-4D5E-B436-93BD17C36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81530-3c00-4dde-b142-9d45f8b8f16a"/>
    <ds:schemaRef ds:uri="ecadc4b3-954e-4480-8a20-3ee969fbf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78862-F571-4465-BE17-1DA71A712BCE}">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Template>
  <TotalTime>78</TotalTime>
  <Pages>21</Pages>
  <Words>6793</Words>
  <Characters>38726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Greinke</dc:creator>
  <cp:keywords/>
  <dc:description/>
  <cp:lastModifiedBy>Nathan Johnson</cp:lastModifiedBy>
  <cp:revision>7</cp:revision>
  <dcterms:created xsi:type="dcterms:W3CDTF">2025-07-08T06:05:00Z</dcterms:created>
  <dcterms:modified xsi:type="dcterms:W3CDTF">2025-07-23T01:21:00Z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0x010100B70C8BC96C77624AA53DD896533D30A6</vt:lpwstr>
  </property>
  <property fmtid="{D5CDD505-2E9C-101B-9397-08002B2CF9AE}" pid="3" name="MediaServiceImageTags">
    <vt:lpwstr/>
  </property>
  <property fmtid="{D5CDD505-2E9C-101B-9397-08002B2CF9AE}" pid="5" name="docLang">
    <vt:lpwstr>en</vt:lpwstr>
  </property>
</Properties>
</file>